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845131" w:rsidP="00845131">
      <w:pPr>
        <w:keepNext/>
        <w:keepLines/>
        <w:widowControl w:val="0"/>
        <w:jc w:val="center"/>
        <w:rPr>
          <w:b/>
        </w:rPr>
      </w:pPr>
      <w:r>
        <w:rPr>
          <w:b/>
          <w:noProof/>
          <w:lang w:val="fr-LU" w:eastAsia="fr-LU" w:bidi="ar-SA"/>
        </w:rPr>
        <w:drawing>
          <wp:inline distT="0" distB="0" distL="0" distR="0">
            <wp:extent cx="2009775" cy="1400175"/>
            <wp:effectExtent l="0" t="0" r="9525" b="9525"/>
            <wp:docPr id="1" name="Picture 1" descr="logo_ce-en-rvb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24081" name="Picture 1" descr="logo_ce-en-rvb-l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31" w:rsidP="00845131">
      <w:pPr>
        <w:keepNext/>
        <w:keepLines/>
        <w:widowControl w:val="0"/>
        <w:rPr>
          <w:b/>
        </w:rPr>
      </w:pPr>
    </w:p>
    <w:p w:rsidR="00845131" w:rsidRPr="00F61B20" w:rsidP="00845131">
      <w:pPr>
        <w:keepNext/>
        <w:keepLines/>
        <w:widowControl w:val="0"/>
        <w:jc w:val="center"/>
        <w:rPr>
          <w:rFonts w:ascii="Verdana" w:hAnsi="Verdana"/>
          <w:b/>
          <w:color w:val="1F497D"/>
        </w:rPr>
      </w:pPr>
      <w:r>
        <w:rPr>
          <w:rFonts w:ascii="Verdana" w:hAnsi="Verdana"/>
          <w:b/>
          <w:color w:val="1F497D"/>
        </w:rPr>
        <w:t>KREATIVNÍ EVROPA (2014–2020)</w:t>
      </w:r>
    </w:p>
    <w:p w:rsidR="00845131" w:rsidRPr="00F61B20" w:rsidP="00845131">
      <w:pPr>
        <w:keepNext/>
        <w:keepLines/>
        <w:widowControl w:val="0"/>
        <w:jc w:val="center"/>
        <w:rPr>
          <w:rFonts w:ascii="Verdana" w:eastAsia="Arial Unicode MS" w:hAnsi="Verdana"/>
          <w:b/>
          <w:color w:val="1F497D"/>
        </w:rPr>
      </w:pPr>
    </w:p>
    <w:p w:rsidR="00845131" w:rsidRPr="00E431ED" w:rsidP="00845131">
      <w:pPr>
        <w:keepNext/>
        <w:keepLines/>
        <w:widowControl w:val="0"/>
        <w:jc w:val="center"/>
        <w:rPr>
          <w:rFonts w:eastAsia="Arial Unicode MS"/>
          <w:b/>
        </w:rPr>
      </w:pPr>
      <w:r>
        <w:rPr>
          <w:rFonts w:ascii="Verdana" w:hAnsi="Verdana"/>
          <w:b/>
          <w:color w:val="1F497D"/>
        </w:rPr>
        <w:t>Dílčí program Kultura</w:t>
      </w:r>
    </w:p>
    <w:p w:rsidR="00845131" w:rsidP="00845131">
      <w:pPr>
        <w:jc w:val="center"/>
        <w:rPr>
          <w:b/>
        </w:rPr>
      </w:pPr>
    </w:p>
    <w:p w:rsidR="00E431ED" w:rsidP="00E431ED">
      <w:pPr>
        <w:jc w:val="center"/>
        <w:rPr>
          <w:b/>
        </w:rPr>
      </w:pPr>
      <w:r>
        <w:rPr>
          <w:b/>
        </w:rPr>
        <w:t>Výzvy k předkládání návrhů:</w:t>
      </w:r>
    </w:p>
    <w:p w:rsidR="00F7741B" w:rsidP="00E431ED">
      <w:pPr>
        <w:jc w:val="center"/>
        <w:rPr>
          <w:b/>
        </w:rPr>
      </w:pPr>
    </w:p>
    <w:p w:rsidR="00845131" w:rsidRPr="003249BC" w:rsidP="003F5F7A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t>Výzva k předkládání návrhů EACEA 35/2017: Podpora projektů evropské spolupráce v rámci Evropského roku kulturního dědictví 2018</w:t>
      </w:r>
    </w:p>
    <w:p w:rsidR="002B14C4" w:rsidP="002B14C4">
      <w:pPr>
        <w:spacing w:after="200" w:line="276" w:lineRule="auto"/>
        <w:rPr>
          <w:rFonts w:eastAsia="Calibri"/>
          <w:b/>
          <w:snapToGrid/>
          <w:sz w:val="22"/>
          <w:szCs w:val="22"/>
        </w:rPr>
      </w:pPr>
    </w:p>
    <w:p w:rsidR="002B14C4" w:rsidRPr="002B14C4" w:rsidP="002B14C4">
      <w:pPr>
        <w:spacing w:after="200" w:line="276" w:lineRule="auto"/>
        <w:rPr>
          <w:rFonts w:eastAsia="Calibri"/>
          <w:b/>
          <w:snapToGrid/>
          <w:sz w:val="22"/>
          <w:szCs w:val="22"/>
        </w:rPr>
      </w:pPr>
      <w:r>
        <w:rPr>
          <w:b/>
          <w:snapToGrid/>
          <w:sz w:val="22"/>
        </w:rPr>
        <w:t>UPOZORNĚNÍ:</w:t>
      </w:r>
    </w:p>
    <w:p w:rsidR="002B14C4" w:rsidRPr="002B14C4" w:rsidP="002B14C4">
      <w:pPr>
        <w:rPr>
          <w:snapToGrid/>
          <w:sz w:val="22"/>
          <w:szCs w:val="22"/>
        </w:rPr>
      </w:pPr>
      <w:r>
        <w:rPr>
          <w:snapToGrid/>
          <w:sz w:val="22"/>
        </w:rPr>
        <w:t xml:space="preserve">Tato výzva k předkládání </w:t>
      </w:r>
      <w:r>
        <w:rPr>
          <w:snapToGrid/>
          <w:sz w:val="22"/>
        </w:rPr>
        <w:t>návrhů je podmíněna dostupností finančních prostředků po přijetí rozpočtu na rok 2018 rozpočtovým orgánem.</w:t>
      </w:r>
    </w:p>
    <w:p w:rsidR="00994ABA" w:rsidRPr="00907E9F" w:rsidP="00994ABA">
      <w:pPr>
        <w:pStyle w:val="ListParagraph"/>
        <w:spacing w:line="360" w:lineRule="auto"/>
        <w:ind w:left="2517"/>
        <w:jc w:val="left"/>
        <w:rPr>
          <w:b/>
        </w:rPr>
      </w:pPr>
    </w:p>
    <w:p w:rsidR="001079B9" w:rsidRPr="00C671BD" w:rsidP="00C671BD">
      <w:pPr>
        <w:pStyle w:val="ListParagraph"/>
        <w:numPr>
          <w:ilvl w:val="0"/>
          <w:numId w:val="5"/>
        </w:numPr>
        <w:ind w:left="426" w:hanging="426"/>
        <w:rPr>
          <w:b/>
          <w:sz w:val="22"/>
          <w:szCs w:val="22"/>
        </w:rPr>
      </w:pPr>
      <w:r>
        <w:rPr>
          <w:b/>
          <w:sz w:val="22"/>
        </w:rPr>
        <w:t>Úvod</w:t>
      </w:r>
    </w:p>
    <w:p w:rsidR="006F6E97" w:rsidRPr="00877841" w:rsidP="001079B9">
      <w:pPr>
        <w:rPr>
          <w:b/>
          <w:sz w:val="22"/>
          <w:szCs w:val="22"/>
        </w:rPr>
      </w:pPr>
    </w:p>
    <w:p w:rsidR="00DC5FE5" w:rsidP="006F6E97">
      <w:pPr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Tato výzva k předkládání návrhů vychází z nařízení Evropského parlamentu a Rady (EU) č. 1295/2013 ze dne 11. prosince 2013, kterým se zavádí </w:t>
      </w:r>
      <w:r>
        <w:rPr>
          <w:color w:val="000000"/>
          <w:sz w:val="22"/>
        </w:rPr>
        <w:t>program Kreativní Evropa (2014–2020)</w:t>
      </w:r>
      <w:r>
        <w:rPr>
          <w:snapToGrid/>
          <w:color w:val="000000"/>
          <w:sz w:val="22"/>
          <w:vertAlign w:val="superscript"/>
        </w:rPr>
        <w:footnoteReference w:id="2"/>
      </w:r>
      <w:r>
        <w:rPr>
          <w:color w:val="000000"/>
          <w:sz w:val="22"/>
        </w:rPr>
        <w:t>, a z opravy uvedeného nařízení ze dne 27. června 2014</w:t>
      </w:r>
      <w:r>
        <w:rPr>
          <w:snapToGrid/>
          <w:color w:val="000000"/>
          <w:sz w:val="22"/>
          <w:vertAlign w:val="superscript"/>
        </w:rPr>
        <w:footnoteReference w:id="3"/>
      </w:r>
      <w:r>
        <w:rPr>
          <w:color w:val="000000"/>
          <w:sz w:val="22"/>
        </w:rPr>
        <w:t xml:space="preserve"> (dále jen „nařízení“).</w:t>
      </w:r>
    </w:p>
    <w:p w:rsidR="006F6E97" w:rsidP="006F6E97">
      <w:pPr>
        <w:rPr>
          <w:color w:val="000000"/>
          <w:sz w:val="22"/>
          <w:szCs w:val="22"/>
        </w:rPr>
      </w:pPr>
    </w:p>
    <w:p w:rsidR="006F6E97" w:rsidP="006F6E97">
      <w:pPr>
        <w:rPr>
          <w:color w:val="000000"/>
          <w:sz w:val="22"/>
          <w:szCs w:val="22"/>
        </w:rPr>
      </w:pPr>
      <w:r>
        <w:rPr>
          <w:color w:val="000000"/>
          <w:sz w:val="22"/>
        </w:rPr>
        <w:t>Obecné a konkrétní cíle programu Kreativní Evropa a priority dílčího programu Kultura jsou uvedeny v článcích 3, 4, 12 a 13 nařízení.</w:t>
      </w:r>
    </w:p>
    <w:p w:rsidR="007C4012" w:rsidP="006F6E97">
      <w:pPr>
        <w:rPr>
          <w:color w:val="000000"/>
          <w:sz w:val="22"/>
          <w:szCs w:val="22"/>
        </w:rPr>
      </w:pPr>
    </w:p>
    <w:p w:rsidR="007C4012" w:rsidRPr="007C4012" w:rsidP="007C4012">
      <w:pPr>
        <w:autoSpaceDE w:val="0"/>
        <w:autoSpaceDN w:val="0"/>
        <w:adjustRightInd w:val="0"/>
        <w:rPr>
          <w:rFonts w:eastAsia="Cambria" w:cs="Arial"/>
          <w:snapToGrid/>
          <w:color w:val="000000"/>
          <w:sz w:val="22"/>
          <w:szCs w:val="22"/>
          <w:highlight w:val="yellow"/>
        </w:rPr>
      </w:pPr>
      <w:r>
        <w:rPr>
          <w:snapToGrid/>
          <w:color w:val="000000"/>
          <w:sz w:val="22"/>
        </w:rPr>
        <w:t>Tato</w:t>
      </w:r>
      <w:r>
        <w:rPr>
          <w:snapToGrid/>
          <w:color w:val="000000"/>
          <w:sz w:val="22"/>
        </w:rPr>
        <w:t xml:space="preserve"> výzva vychází také z rozhodnutí Rady a Evropského parlamentu ze dne 17. května 2017 o vyhlášení roku 2018 Evropským rokem kulturního dědictví (rozhodnutí Evropského parlamentu a Rady EU 2017/864)</w:t>
      </w:r>
      <w:r>
        <w:rPr>
          <w:snapToGrid/>
          <w:color w:val="000000"/>
          <w:sz w:val="22"/>
          <w:vertAlign w:val="superscript"/>
        </w:rPr>
        <w:footnoteReference w:id="4"/>
      </w:r>
      <w:r>
        <w:rPr>
          <w:snapToGrid/>
          <w:color w:val="000000"/>
          <w:sz w:val="22"/>
        </w:rPr>
        <w:t>.</w:t>
      </w:r>
    </w:p>
    <w:p w:rsidR="006F6E97" w:rsidP="006F6E97">
      <w:pPr>
        <w:rPr>
          <w:color w:val="000000"/>
          <w:sz w:val="22"/>
          <w:szCs w:val="22"/>
        </w:rPr>
      </w:pPr>
    </w:p>
    <w:p w:rsidR="00C31DA9" w:rsidP="006F6E97">
      <w:pPr>
        <w:rPr>
          <w:color w:val="000000"/>
          <w:sz w:val="22"/>
          <w:szCs w:val="22"/>
        </w:rPr>
      </w:pPr>
    </w:p>
    <w:p w:rsidR="006F6E97" w:rsidRPr="006F6E97" w:rsidP="00C671BD">
      <w:pPr>
        <w:pStyle w:val="ListParagraph"/>
        <w:numPr>
          <w:ilvl w:val="0"/>
          <w:numId w:val="5"/>
        </w:numPr>
        <w:ind w:left="426" w:hanging="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Cíle a priority</w:t>
      </w:r>
    </w:p>
    <w:p w:rsidR="006F6E97" w:rsidP="006F6E97">
      <w:pPr>
        <w:rPr>
          <w:color w:val="000000"/>
          <w:sz w:val="22"/>
          <w:szCs w:val="22"/>
        </w:rPr>
      </w:pPr>
    </w:p>
    <w:p w:rsidR="0054750C" w:rsidRPr="0054750C" w:rsidP="0054750C">
      <w:pPr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Hlavním cílem podpory projektů evropské</w:t>
      </w:r>
      <w:r>
        <w:rPr>
          <w:snapToGrid/>
          <w:sz w:val="22"/>
        </w:rPr>
        <w:t xml:space="preserve"> spolupráce v rámci Evropského roku kulturního dědictví 2017 je reflektovat smysl Evropského roku kulturního dědictví (dále jen „ERKD 2018“), a sice podpořit sdílení kulturního dědictví Evropy coby společného zdroje a schopnost jej ocenit, zvýšit povědomí </w:t>
      </w:r>
      <w:r>
        <w:rPr>
          <w:snapToGrid/>
          <w:sz w:val="22"/>
        </w:rPr>
        <w:t>o společných dějinách a hodnotách a posílit pocit příslušnosti ke společnému evropskému prostoru (čl. 1 odst. 2 rozhodnutí (EU) 2017/864).</w:t>
      </w:r>
    </w:p>
    <w:p w:rsidR="0054750C" w:rsidP="00BF4842">
      <w:pPr>
        <w:rPr>
          <w:snapToGrid/>
          <w:sz w:val="22"/>
          <w:szCs w:val="22"/>
        </w:rPr>
      </w:pPr>
    </w:p>
    <w:p w:rsidR="00BF4842" w:rsidP="0017095C">
      <w:pPr>
        <w:rPr>
          <w:snapToGrid/>
          <w:sz w:val="22"/>
          <w:szCs w:val="22"/>
        </w:rPr>
      </w:pPr>
      <w:r>
        <w:rPr>
          <w:snapToGrid/>
          <w:sz w:val="22"/>
        </w:rPr>
        <w:t>V této souvislosti podpora projektů evropské spolupráce v rámci ERKD 2018 sleduje tyto dva cíle:</w:t>
      </w:r>
    </w:p>
    <w:p w:rsidR="0054750C" w:rsidRPr="0054750C" w:rsidP="0054750C">
      <w:pPr>
        <w:autoSpaceDE w:val="0"/>
        <w:autoSpaceDN w:val="0"/>
        <w:adjustRightInd w:val="0"/>
        <w:rPr>
          <w:rFonts w:eastAsia="Cambria"/>
          <w:snapToGrid/>
          <w:sz w:val="22"/>
          <w:szCs w:val="22"/>
        </w:rPr>
      </w:pPr>
    </w:p>
    <w:p w:rsidR="0054750C" w:rsidRPr="00C671BD" w:rsidP="00C671B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425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posílit pocit přís</w:t>
      </w:r>
      <w:r>
        <w:rPr>
          <w:snapToGrid/>
          <w:sz w:val="22"/>
        </w:rPr>
        <w:t xml:space="preserve">lušnosti ke společnému evropskému prostoru a  </w:t>
      </w:r>
    </w:p>
    <w:p w:rsidR="0054750C" w:rsidRPr="0054750C" w:rsidP="0054750C">
      <w:pPr>
        <w:autoSpaceDE w:val="0"/>
        <w:autoSpaceDN w:val="0"/>
        <w:adjustRightInd w:val="0"/>
        <w:rPr>
          <w:rFonts w:eastAsia="Cambria"/>
          <w:snapToGrid/>
          <w:sz w:val="22"/>
          <w:szCs w:val="22"/>
        </w:rPr>
      </w:pPr>
    </w:p>
    <w:p w:rsidR="0054750C" w:rsidRPr="0054750C" w:rsidP="00C671B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425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propagovat kulturní dědictví jako zdroj inspirace pro současnou uměleckou tvorbu a inovaci a posílit interakci mezi odvětvím kulturního dědictví a ostatními kulturními a kreativními odvětvími.</w:t>
      </w:r>
    </w:p>
    <w:p w:rsidR="0054750C" w:rsidRPr="0054750C" w:rsidP="0017095C">
      <w:pPr>
        <w:rPr>
          <w:snapToGrid/>
          <w:sz w:val="22"/>
          <w:szCs w:val="22"/>
        </w:rPr>
      </w:pPr>
    </w:p>
    <w:p w:rsidR="00BF4842" w:rsidRPr="00BF4842" w:rsidP="0017095C">
      <w:pPr>
        <w:rPr>
          <w:snapToGrid/>
          <w:sz w:val="22"/>
          <w:szCs w:val="22"/>
        </w:rPr>
      </w:pPr>
    </w:p>
    <w:p w:rsidR="006F6E97" w:rsidRPr="00C671BD" w:rsidP="00C671BD">
      <w:pPr>
        <w:pStyle w:val="ListParagraph"/>
        <w:numPr>
          <w:ilvl w:val="0"/>
          <w:numId w:val="5"/>
        </w:numPr>
        <w:ind w:left="426" w:hanging="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 xml:space="preserve">Kritéria </w:t>
      </w:r>
      <w:r>
        <w:rPr>
          <w:b/>
          <w:color w:val="000000"/>
          <w:sz w:val="22"/>
        </w:rPr>
        <w:t>způsobilosti</w:t>
      </w:r>
    </w:p>
    <w:p w:rsidR="008A438D" w:rsidP="0017095C">
      <w:pPr>
        <w:rPr>
          <w:b/>
          <w:snapToGrid/>
          <w:sz w:val="22"/>
          <w:szCs w:val="22"/>
        </w:rPr>
      </w:pPr>
    </w:p>
    <w:p w:rsidR="008A438D" w:rsidRPr="00C671BD" w:rsidP="00C671BD">
      <w:pPr>
        <w:pStyle w:val="ListParagraph"/>
        <w:numPr>
          <w:ilvl w:val="0"/>
          <w:numId w:val="7"/>
        </w:numPr>
        <w:ind w:left="426" w:hanging="426"/>
        <w:rPr>
          <w:b/>
          <w:snapToGrid/>
          <w:sz w:val="22"/>
          <w:szCs w:val="22"/>
        </w:rPr>
      </w:pPr>
      <w:r>
        <w:rPr>
          <w:b/>
          <w:snapToGrid/>
          <w:sz w:val="22"/>
        </w:rPr>
        <w:t>Způsobilí účastníci a země</w:t>
      </w:r>
    </w:p>
    <w:p w:rsidR="006F6E97" w:rsidRPr="00877841" w:rsidP="0017095C">
      <w:pPr>
        <w:rPr>
          <w:snapToGrid/>
          <w:sz w:val="22"/>
          <w:szCs w:val="22"/>
        </w:rPr>
      </w:pPr>
    </w:p>
    <w:p w:rsidR="00877609" w:rsidP="006B5FD1">
      <w:pPr>
        <w:autoSpaceDE w:val="0"/>
        <w:autoSpaceDN w:val="0"/>
        <w:adjustRightInd w:val="0"/>
        <w:rPr>
          <w:snapToGrid/>
          <w:sz w:val="22"/>
          <w:szCs w:val="22"/>
        </w:rPr>
      </w:pPr>
      <w:r>
        <w:rPr>
          <w:snapToGrid/>
          <w:sz w:val="22"/>
        </w:rPr>
        <w:t>Způsobilými žadateli jsou evropské kulturní subjekty, které jsou činné v kulturních a kreativních odvětvích definovaných v článku 2 nařízení a mají sídlo v některé ze zemí účastnících se dílčího programu Kultura.</w:t>
      </w:r>
    </w:p>
    <w:p w:rsidR="006B5FD1" w:rsidRPr="006B5FD1" w:rsidP="006B5FD1">
      <w:pPr>
        <w:autoSpaceDE w:val="0"/>
        <w:autoSpaceDN w:val="0"/>
        <w:adjustRightInd w:val="0"/>
        <w:rPr>
          <w:snapToGrid/>
          <w:sz w:val="22"/>
          <w:szCs w:val="22"/>
        </w:rPr>
      </w:pPr>
    </w:p>
    <w:p w:rsidR="00877609" w:rsidP="006B5FD1">
      <w:pPr>
        <w:autoSpaceDE w:val="0"/>
        <w:autoSpaceDN w:val="0"/>
        <w:adjustRightInd w:val="0"/>
        <w:rPr>
          <w:snapToGrid/>
          <w:sz w:val="22"/>
          <w:szCs w:val="22"/>
        </w:rPr>
      </w:pPr>
      <w:r>
        <w:rPr>
          <w:snapToGrid/>
          <w:sz w:val="22"/>
        </w:rPr>
        <w:t>Vedoucí projektu musí mít k datu uzávěrky pro podání žádostí právní subjektivitu alespoň dva roky a musí být schopen svoji existenci jakožto právnické osoby prokázat.</w:t>
      </w:r>
    </w:p>
    <w:p w:rsidR="006B5FD1" w:rsidRPr="006B5FD1" w:rsidP="006B5FD1">
      <w:pPr>
        <w:autoSpaceDE w:val="0"/>
        <w:autoSpaceDN w:val="0"/>
        <w:adjustRightInd w:val="0"/>
        <w:jc w:val="left"/>
        <w:rPr>
          <w:snapToGrid/>
          <w:sz w:val="22"/>
          <w:szCs w:val="22"/>
        </w:rPr>
      </w:pPr>
    </w:p>
    <w:p w:rsidR="00E6321E" w:rsidRPr="00E6321E" w:rsidP="00E6321E">
      <w:pPr>
        <w:rPr>
          <w:rFonts w:eastAsia="Cambria"/>
          <w:iCs/>
          <w:snapToGrid/>
          <w:sz w:val="22"/>
          <w:szCs w:val="22"/>
        </w:rPr>
      </w:pPr>
      <w:r>
        <w:rPr>
          <w:snapToGrid/>
          <w:sz w:val="22"/>
        </w:rPr>
        <w:t>Vedoucím projektu nemohou být tyto druhy subjektů:</w:t>
      </w:r>
    </w:p>
    <w:p w:rsidR="00E6321E" w:rsidRPr="00E6321E" w:rsidP="00C671BD">
      <w:pPr>
        <w:numPr>
          <w:ilvl w:val="0"/>
          <w:numId w:val="4"/>
        </w:numPr>
        <w:rPr>
          <w:rFonts w:eastAsia="Cambria"/>
          <w:iCs/>
          <w:snapToGrid/>
          <w:sz w:val="22"/>
          <w:szCs w:val="22"/>
        </w:rPr>
      </w:pPr>
      <w:r>
        <w:rPr>
          <w:snapToGrid/>
          <w:sz w:val="22"/>
        </w:rPr>
        <w:t>vysokoškolské instituce (včetně mj. u</w:t>
      </w:r>
      <w:r>
        <w:rPr>
          <w:snapToGrid/>
          <w:sz w:val="22"/>
        </w:rPr>
        <w:t>niverzit) a související nadace, asociace či organizace zaměřené na výzkum,</w:t>
      </w:r>
    </w:p>
    <w:p w:rsidR="00E6321E" w:rsidRPr="00E6321E" w:rsidP="00C671BD">
      <w:pPr>
        <w:numPr>
          <w:ilvl w:val="0"/>
          <w:numId w:val="4"/>
        </w:numPr>
        <w:rPr>
          <w:rFonts w:eastAsia="Cambria"/>
          <w:iCs/>
          <w:snapToGrid/>
          <w:sz w:val="22"/>
          <w:szCs w:val="22"/>
        </w:rPr>
      </w:pPr>
      <w:r>
        <w:rPr>
          <w:snapToGrid/>
          <w:sz w:val="22"/>
        </w:rPr>
        <w:t>výzkumné instituce nebo organizace, nadace či asociace působící v oblasti výzkumu,</w:t>
      </w:r>
    </w:p>
    <w:p w:rsidR="00E6321E" w:rsidP="00C671BD">
      <w:pPr>
        <w:numPr>
          <w:ilvl w:val="0"/>
          <w:numId w:val="4"/>
        </w:numPr>
        <w:rPr>
          <w:rFonts w:eastAsia="Cambria"/>
          <w:iCs/>
          <w:snapToGrid/>
          <w:sz w:val="22"/>
          <w:szCs w:val="22"/>
        </w:rPr>
      </w:pPr>
      <w:r>
        <w:rPr>
          <w:snapToGrid/>
          <w:sz w:val="22"/>
        </w:rPr>
        <w:t>organizace nebo asociace cestovního ruchu.</w:t>
      </w:r>
    </w:p>
    <w:p w:rsidR="00E6321E" w:rsidRPr="00E6321E" w:rsidP="00E6321E">
      <w:pPr>
        <w:rPr>
          <w:rFonts w:eastAsia="Cambria"/>
          <w:iCs/>
          <w:snapToGrid/>
          <w:sz w:val="22"/>
          <w:szCs w:val="22"/>
        </w:rPr>
      </w:pPr>
    </w:p>
    <w:p w:rsidR="00E6321E" w:rsidP="006B5FD1">
      <w:pPr>
        <w:rPr>
          <w:rFonts w:eastAsia="Cambria"/>
          <w:iCs/>
          <w:snapToGrid/>
          <w:sz w:val="22"/>
          <w:szCs w:val="22"/>
        </w:rPr>
      </w:pPr>
      <w:r>
        <w:rPr>
          <w:snapToGrid/>
          <w:sz w:val="22"/>
        </w:rPr>
        <w:t>O grant nemohou žádat fyzické osoby.</w:t>
      </w:r>
    </w:p>
    <w:p w:rsidR="006B5FD1" w:rsidRPr="006B5FD1" w:rsidP="006B5FD1">
      <w:pPr>
        <w:rPr>
          <w:rFonts w:eastAsia="Cambria"/>
          <w:iCs/>
          <w:snapToGrid/>
          <w:sz w:val="22"/>
          <w:szCs w:val="22"/>
        </w:rPr>
      </w:pPr>
    </w:p>
    <w:p w:rsidR="00907DBB" w:rsidRPr="00877609" w:rsidP="00877609">
      <w:pPr>
        <w:autoSpaceDE w:val="0"/>
        <w:autoSpaceDN w:val="0"/>
        <w:adjustRightInd w:val="0"/>
        <w:jc w:val="left"/>
        <w:rPr>
          <w:snapToGrid/>
          <w:sz w:val="22"/>
          <w:szCs w:val="22"/>
        </w:rPr>
      </w:pPr>
      <w:r>
        <w:rPr>
          <w:snapToGrid/>
          <w:sz w:val="22"/>
        </w:rPr>
        <w:t xml:space="preserve">Žadatelé </w:t>
      </w:r>
      <w:r>
        <w:rPr>
          <w:snapToGrid/>
          <w:sz w:val="22"/>
          <w:u w:val="single"/>
        </w:rPr>
        <w:t>nesmí</w:t>
      </w:r>
      <w:r>
        <w:rPr>
          <w:snapToGrid/>
          <w:sz w:val="22"/>
        </w:rPr>
        <w:t xml:space="preserve"> b</w:t>
      </w:r>
      <w:r>
        <w:rPr>
          <w:snapToGrid/>
          <w:sz w:val="22"/>
        </w:rPr>
        <w:t>ýt v situaci vylučující jejich účast nebo udělení grantu na základě definice uvedené ve finančním nařízení o souhrnném rozpočtu Unie a v jeho prováděcích pravidlech.</w:t>
      </w:r>
    </w:p>
    <w:p w:rsidR="00A143A1" w:rsidP="007168DC">
      <w:pPr>
        <w:rPr>
          <w:sz w:val="22"/>
          <w:szCs w:val="22"/>
        </w:rPr>
      </w:pPr>
    </w:p>
    <w:p w:rsidR="00877609" w:rsidP="00877609">
      <w:pPr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Způsobilé jsou žádosti od právnických osob zřízených v některé z níže uvedených kategorií</w:t>
      </w:r>
      <w:r>
        <w:rPr>
          <w:snapToGrid/>
          <w:sz w:val="22"/>
        </w:rPr>
        <w:t xml:space="preserve"> zemí, pokud jsou splněny všechny podmínky stanovené v článku 8 nařízení č. 1295/2013, kterým se zavádí program Kreativní Evropa, a pokud Komise s danou zemí zahájila jednání:</w:t>
      </w:r>
    </w:p>
    <w:p w:rsidR="00877609" w:rsidRPr="00877609" w:rsidP="00877609">
      <w:pPr>
        <w:rPr>
          <w:rFonts w:eastAsia="Cambria"/>
          <w:snapToGrid/>
          <w:sz w:val="22"/>
          <w:szCs w:val="22"/>
        </w:rPr>
      </w:pPr>
    </w:p>
    <w:p w:rsidR="00877609" w:rsidRPr="00C671BD" w:rsidP="00C671BD">
      <w:pPr>
        <w:pStyle w:val="ListParagraph"/>
        <w:numPr>
          <w:ilvl w:val="0"/>
          <w:numId w:val="8"/>
        </w:numPr>
        <w:tabs>
          <w:tab w:val="left" w:pos="709"/>
        </w:tabs>
        <w:ind w:left="426" w:firstLine="0"/>
        <w:contextualSpacing/>
        <w:jc w:val="left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28 členských států EU a zámořské země a území způsobilé k účasti na programu v </w:t>
      </w:r>
      <w:r>
        <w:rPr>
          <w:snapToGrid/>
          <w:sz w:val="22"/>
        </w:rPr>
        <w:t>souladu s článkem 58 rozhodnutí Rady 2001/822/ES</w:t>
      </w:r>
      <w:r>
        <w:rPr>
          <w:snapToGrid/>
          <w:vertAlign w:val="superscript"/>
        </w:rPr>
        <w:footnoteReference w:id="5"/>
      </w:r>
      <w:r>
        <w:rPr>
          <w:snapToGrid/>
          <w:sz w:val="22"/>
        </w:rPr>
        <w:t>,</w:t>
      </w:r>
    </w:p>
    <w:p w:rsidR="00877609" w:rsidRPr="00877609" w:rsidP="00877609">
      <w:pPr>
        <w:ind w:left="426"/>
        <w:contextualSpacing/>
        <w:jc w:val="left"/>
        <w:rPr>
          <w:rFonts w:eastAsia="Cambria"/>
          <w:snapToGrid/>
          <w:sz w:val="22"/>
          <w:szCs w:val="22"/>
        </w:rPr>
      </w:pPr>
    </w:p>
    <w:p w:rsidR="00877609" w:rsidP="00C671BD">
      <w:pPr>
        <w:pStyle w:val="ListParagraph"/>
        <w:numPr>
          <w:ilvl w:val="0"/>
          <w:numId w:val="8"/>
        </w:numPr>
        <w:tabs>
          <w:tab w:val="left" w:pos="709"/>
        </w:tabs>
        <w:ind w:left="426" w:firstLine="0"/>
        <w:contextualSpacing/>
        <w:jc w:val="left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přistupující země, kandidátské země a potenciální kandidátské země, které využívají předvstupní strategie, v souladu s obecnými zásadami a obecnými podmínkami pro účast těchto zemí v programech EU stanove</w:t>
      </w:r>
      <w:r>
        <w:rPr>
          <w:snapToGrid/>
          <w:sz w:val="22"/>
        </w:rPr>
        <w:t>nými v příslušných rámcových dohodách a rozhodnutích Rady přidružení nebo obdobných dohodách,</w:t>
      </w:r>
    </w:p>
    <w:p w:rsidR="00877609" w:rsidRPr="00877609" w:rsidP="00877609">
      <w:pPr>
        <w:ind w:left="426"/>
        <w:contextualSpacing/>
        <w:jc w:val="left"/>
        <w:rPr>
          <w:rFonts w:eastAsia="Cambria"/>
          <w:snapToGrid/>
          <w:sz w:val="22"/>
          <w:szCs w:val="22"/>
        </w:rPr>
      </w:pPr>
    </w:p>
    <w:p w:rsidR="00877609" w:rsidP="00C671BD">
      <w:pPr>
        <w:pStyle w:val="ListParagraph"/>
        <w:numPr>
          <w:ilvl w:val="0"/>
          <w:numId w:val="8"/>
        </w:numPr>
        <w:tabs>
          <w:tab w:val="left" w:pos="709"/>
        </w:tabs>
        <w:ind w:left="426" w:firstLine="0"/>
        <w:contextualSpacing/>
        <w:jc w:val="left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země ESVO, které jsou členy Dohody o EHP, v souladu s ustanoveními uvedené dohody,</w:t>
      </w:r>
    </w:p>
    <w:p w:rsidR="00877609" w:rsidRPr="00877609" w:rsidP="00877609">
      <w:pPr>
        <w:ind w:left="426"/>
        <w:contextualSpacing/>
        <w:jc w:val="left"/>
        <w:rPr>
          <w:rFonts w:eastAsia="Cambria"/>
          <w:snapToGrid/>
          <w:sz w:val="22"/>
          <w:szCs w:val="22"/>
        </w:rPr>
      </w:pPr>
    </w:p>
    <w:p w:rsidR="00877609" w:rsidRPr="00877609" w:rsidP="00C671BD">
      <w:pPr>
        <w:pStyle w:val="ListParagraph"/>
        <w:numPr>
          <w:ilvl w:val="0"/>
          <w:numId w:val="8"/>
        </w:numPr>
        <w:tabs>
          <w:tab w:val="left" w:pos="709"/>
        </w:tabs>
        <w:ind w:left="426" w:firstLine="0"/>
        <w:contextualSpacing/>
        <w:jc w:val="left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 xml:space="preserve">země, na které se vztahuje evropská politika sousedství v souladu s postupy </w:t>
      </w:r>
      <w:r>
        <w:rPr>
          <w:snapToGrid/>
          <w:sz w:val="22"/>
        </w:rPr>
        <w:t>stanovenými s těmito zeměmi v návaznosti na rámcové dohody o jejich účasti na programech EU.</w:t>
      </w:r>
    </w:p>
    <w:p w:rsidR="00A143A1" w:rsidP="007168DC">
      <w:pPr>
        <w:rPr>
          <w:sz w:val="22"/>
          <w:szCs w:val="22"/>
        </w:rPr>
      </w:pPr>
    </w:p>
    <w:p w:rsidR="00877609" w:rsidRPr="00877609" w:rsidP="00877609">
      <w:pPr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Aktualizovaný seznam zemí způsobilých k účasti v programu Kreativní Evropa (zemí, které splňují podmínky stanovené v článku 8 nařízení č. 1295/2013) a zemí, které</w:t>
      </w:r>
      <w:r>
        <w:rPr>
          <w:snapToGrid/>
          <w:sz w:val="22"/>
        </w:rPr>
        <w:t xml:space="preserve"> se mohou stát způsobilými v blízké budoucnosti (zemí, s nimiž Komise zahájila jednání) je k dispozici na adrese </w:t>
      </w:r>
    </w:p>
    <w:p w:rsidR="00877609" w:rsidP="00877609">
      <w:r>
        <w:fldChar w:fldCharType="begin"/>
      </w:r>
      <w:r>
        <w:instrText xml:space="preserve"> HYPERLINK "https://eacea.ec.europa.eu/creative-europe/library/eligibility-organisations-non-eu-countries_en" </w:instrText>
      </w:r>
      <w:r>
        <w:fldChar w:fldCharType="separate"/>
      </w:r>
      <w:r>
        <w:rPr>
          <w:snapToGrid/>
          <w:color w:val="0000FF"/>
          <w:sz w:val="22"/>
          <w:u w:val="single"/>
        </w:rPr>
        <w:t>https://eacea.ec.europa.eu/creativ</w:t>
      </w:r>
      <w:r>
        <w:rPr>
          <w:snapToGrid/>
          <w:color w:val="0000FF"/>
          <w:sz w:val="22"/>
          <w:u w:val="single"/>
        </w:rPr>
        <w:t>e-europe/library/eligibility-organisations-non-eu-countries_en</w:t>
      </w:r>
      <w:r>
        <w:fldChar w:fldCharType="end"/>
      </w:r>
    </w:p>
    <w:p w:rsidR="00C31DA9" w:rsidP="00877609"/>
    <w:p w:rsidR="00C31DA9" w:rsidRPr="00877609" w:rsidP="00877609">
      <w:pPr>
        <w:rPr>
          <w:rFonts w:eastAsia="Cambria"/>
          <w:snapToGrid/>
          <w:sz w:val="22"/>
          <w:szCs w:val="22"/>
        </w:rPr>
      </w:pPr>
    </w:p>
    <w:p w:rsidR="00A143A1" w:rsidRPr="00C671BD" w:rsidP="00C31DA9">
      <w:pPr>
        <w:pStyle w:val="ListParagraph"/>
        <w:keepNext/>
        <w:numPr>
          <w:ilvl w:val="0"/>
          <w:numId w:val="7"/>
        </w:numPr>
        <w:ind w:left="426" w:hanging="426"/>
        <w:rPr>
          <w:b/>
          <w:snapToGrid/>
          <w:sz w:val="22"/>
          <w:szCs w:val="22"/>
        </w:rPr>
      </w:pPr>
      <w:r>
        <w:rPr>
          <w:b/>
          <w:snapToGrid/>
          <w:sz w:val="22"/>
        </w:rPr>
        <w:t>Způsobilé projekty</w:t>
      </w:r>
    </w:p>
    <w:p w:rsidR="001D2609" w:rsidP="00C31DA9">
      <w:pPr>
        <w:keepNext/>
        <w:rPr>
          <w:sz w:val="22"/>
          <w:szCs w:val="22"/>
        </w:rPr>
      </w:pPr>
    </w:p>
    <w:p w:rsidR="00207733" w:rsidP="00C31DA9">
      <w:pPr>
        <w:keepNext/>
        <w:rPr>
          <w:sz w:val="22"/>
          <w:szCs w:val="22"/>
        </w:rPr>
      </w:pPr>
      <w:r>
        <w:rPr>
          <w:sz w:val="22"/>
        </w:rPr>
        <w:t>Dílčí program Kultura nebude podporovat projekty, které zahrnují pornografické nebo rasistické materiály nebo propagují násilí. Dílčí program Kultura bude podporova</w:t>
      </w:r>
      <w:bookmarkStart w:id="0" w:name="_GoBack"/>
      <w:bookmarkEnd w:id="0"/>
      <w:r>
        <w:rPr>
          <w:sz w:val="22"/>
        </w:rPr>
        <w:t>t zejm</w:t>
      </w:r>
      <w:r>
        <w:rPr>
          <w:sz w:val="22"/>
        </w:rPr>
        <w:t>éna neziskové projekty.</w:t>
      </w:r>
    </w:p>
    <w:p w:rsidR="00047275" w:rsidP="007168DC">
      <w:pPr>
        <w:rPr>
          <w:sz w:val="22"/>
          <w:szCs w:val="22"/>
        </w:rPr>
      </w:pPr>
    </w:p>
    <w:p w:rsidR="006B5FD1" w:rsidRPr="0060107D" w:rsidP="0021350F">
      <w:pPr>
        <w:rPr>
          <w:sz w:val="22"/>
          <w:szCs w:val="22"/>
        </w:rPr>
      </w:pPr>
      <w:r>
        <w:rPr>
          <w:sz w:val="22"/>
        </w:rPr>
        <w:t>Vedoucí projektu nemůže zaslat žádost na obě výzvy EACEA 32/2017 a 35/2017.</w:t>
      </w:r>
    </w:p>
    <w:p w:rsidR="0021350F" w:rsidRPr="0060107D" w:rsidP="0021350F">
      <w:pPr>
        <w:rPr>
          <w:sz w:val="22"/>
          <w:szCs w:val="22"/>
        </w:rPr>
      </w:pPr>
      <w:r>
        <w:rPr>
          <w:sz w:val="22"/>
        </w:rPr>
        <w:t xml:space="preserve">Projekt předkládaný v rámci této výzvy EACEA 35/2017 není možné předložit i v rámci výzvy EACEA 32/2017. </w:t>
      </w:r>
    </w:p>
    <w:p w:rsidR="0060107D" w:rsidP="007168DC">
      <w:pPr>
        <w:rPr>
          <w:sz w:val="22"/>
          <w:szCs w:val="22"/>
        </w:rPr>
      </w:pPr>
    </w:p>
    <w:p w:rsidR="001D2609" w:rsidP="007168DC">
      <w:pPr>
        <w:rPr>
          <w:sz w:val="22"/>
          <w:szCs w:val="22"/>
        </w:rPr>
      </w:pPr>
      <w:r>
        <w:rPr>
          <w:sz w:val="22"/>
        </w:rPr>
        <w:t>Způsobilé projekty dále musí:</w:t>
      </w:r>
    </w:p>
    <w:p w:rsidR="00A902C5" w:rsidP="007168DC">
      <w:pPr>
        <w:rPr>
          <w:sz w:val="22"/>
          <w:szCs w:val="22"/>
        </w:rPr>
      </w:pPr>
    </w:p>
    <w:p w:rsidR="00EC61FB" w:rsidP="00C671BD">
      <w:pPr>
        <w:pStyle w:val="Bodytext2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69" w:lineRule="exact"/>
        <w:ind w:left="0" w:firstLine="0"/>
        <w:jc w:val="both"/>
        <w:rPr>
          <w:rFonts w:ascii="Times New Roman" w:eastAsia="Times New Roman" w:hAnsi="Times New Roman"/>
          <w:snapToGrid w:val="0"/>
          <w:spacing w:val="0"/>
          <w:sz w:val="22"/>
          <w:szCs w:val="22"/>
        </w:rPr>
      </w:pPr>
      <w:r>
        <w:rPr>
          <w:rFonts w:ascii="Times New Roman" w:hAnsi="Times New Roman"/>
          <w:snapToGrid w:val="0"/>
          <w:spacing w:val="0"/>
          <w:sz w:val="22"/>
        </w:rPr>
        <w:t xml:space="preserve">trvat nejvýše </w:t>
      </w:r>
      <w:r>
        <w:rPr>
          <w:rFonts w:ascii="Times New Roman" w:hAnsi="Times New Roman"/>
          <w:snapToGrid w:val="0"/>
          <w:spacing w:val="0"/>
          <w:sz w:val="22"/>
        </w:rPr>
        <w:t>24 měsíců (období způsobilosti),</w:t>
      </w:r>
    </w:p>
    <w:p w:rsidR="00C671BD" w:rsidRPr="00C671BD" w:rsidP="00C671BD">
      <w:pPr>
        <w:pStyle w:val="Bodytext2"/>
        <w:shd w:val="clear" w:color="auto" w:fill="auto"/>
        <w:tabs>
          <w:tab w:val="left" w:pos="284"/>
        </w:tabs>
        <w:spacing w:after="0" w:line="269" w:lineRule="exact"/>
        <w:ind w:firstLine="0"/>
        <w:jc w:val="both"/>
        <w:rPr>
          <w:rFonts w:ascii="Times New Roman" w:eastAsia="Times New Roman" w:hAnsi="Times New Roman"/>
          <w:snapToGrid w:val="0"/>
          <w:spacing w:val="0"/>
          <w:sz w:val="22"/>
          <w:szCs w:val="22"/>
        </w:rPr>
      </w:pPr>
    </w:p>
    <w:p w:rsidR="00207733" w:rsidRPr="00C671BD" w:rsidP="00C671BD">
      <w:pPr>
        <w:pStyle w:val="Bodytext2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69" w:lineRule="exact"/>
        <w:ind w:left="0" w:firstLine="0"/>
        <w:jc w:val="both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</w:rPr>
        <w:t>je možné požadovat grant EU v maximální výši 200 000 EUR, což představuje maximálně 60 % celkových způsobilých nákladů; projektu se dále musí účastnit vedoucí projektu spolu se dvěma dalšími partnery, kteří sídlí nejméně ve třech různých zemích účastnících</w:t>
      </w:r>
      <w:r>
        <w:rPr>
          <w:rFonts w:ascii="Times New Roman" w:hAnsi="Times New Roman"/>
          <w:spacing w:val="0"/>
          <w:sz w:val="22"/>
        </w:rPr>
        <w:t xml:space="preserve"> se programu Kreativní Evropa – dílčího programu Kultura. Buď vedoucí projektu, nebo jeden z partnerů musí mít sídlo v jedné ze způsobilých zemí uvedených v této výzvě.</w:t>
      </w:r>
    </w:p>
    <w:p w:rsidR="0021350F" w:rsidRPr="0021350F" w:rsidP="0021350F">
      <w:pPr>
        <w:pStyle w:val="ListParagraph"/>
        <w:ind w:left="0"/>
        <w:contextualSpacing/>
        <w:rPr>
          <w:rFonts w:eastAsia="Cambria"/>
          <w:iCs/>
          <w:snapToGrid/>
          <w:sz w:val="22"/>
          <w:szCs w:val="22"/>
        </w:rPr>
      </w:pPr>
    </w:p>
    <w:p w:rsidR="00A143A1" w:rsidP="007168DC">
      <w:pPr>
        <w:rPr>
          <w:sz w:val="22"/>
          <w:szCs w:val="22"/>
        </w:rPr>
      </w:pPr>
    </w:p>
    <w:p w:rsidR="00A143A1" w:rsidRPr="00C671BD" w:rsidP="00C671BD">
      <w:pPr>
        <w:pStyle w:val="ListParagraph"/>
        <w:numPr>
          <w:ilvl w:val="0"/>
          <w:numId w:val="7"/>
        </w:numPr>
        <w:ind w:left="426" w:hanging="426"/>
        <w:rPr>
          <w:b/>
          <w:snapToGrid/>
          <w:sz w:val="22"/>
          <w:szCs w:val="22"/>
        </w:rPr>
      </w:pPr>
      <w:r>
        <w:rPr>
          <w:b/>
          <w:snapToGrid/>
          <w:sz w:val="22"/>
        </w:rPr>
        <w:t>Způsobilé činnosti</w:t>
      </w:r>
    </w:p>
    <w:p w:rsidR="00A143A1" w:rsidP="007168DC">
      <w:pPr>
        <w:rPr>
          <w:sz w:val="22"/>
          <w:szCs w:val="22"/>
        </w:rPr>
      </w:pPr>
    </w:p>
    <w:p w:rsidR="005712A7" w:rsidP="005712A7">
      <w:pPr>
        <w:rPr>
          <w:rFonts w:eastAsia="Cambria"/>
          <w:iCs/>
          <w:snapToGrid/>
          <w:sz w:val="22"/>
          <w:szCs w:val="22"/>
        </w:rPr>
      </w:pPr>
      <w:r>
        <w:rPr>
          <w:snapToGrid/>
          <w:sz w:val="22"/>
        </w:rPr>
        <w:t>Způsobilé činnosti se musejí týkat evropského kulturního dědictví</w:t>
      </w:r>
      <w:r>
        <w:rPr>
          <w:snapToGrid/>
          <w:sz w:val="22"/>
        </w:rPr>
        <w:t>, jak vymezuje rozhodnutí, kterým se vyhlašuje ERKD 2018</w:t>
      </w:r>
      <w:r>
        <w:rPr>
          <w:snapToGrid/>
          <w:sz w:val="22"/>
          <w:vertAlign w:val="superscript"/>
        </w:rPr>
        <w:footnoteReference w:id="6"/>
      </w:r>
      <w:r>
        <w:rPr>
          <w:snapToGrid/>
          <w:sz w:val="22"/>
        </w:rPr>
        <w:t>, a cílů a projektů, na něž je tato výzva zaměřena a které jsou stanoveny v bodech 2.1.2 a 2.1.3 pokynů.</w:t>
      </w:r>
    </w:p>
    <w:p w:rsidR="005712A7" w:rsidP="005712A7">
      <w:pPr>
        <w:rPr>
          <w:rFonts w:eastAsia="Cambria"/>
          <w:iCs/>
          <w:snapToGrid/>
          <w:sz w:val="22"/>
          <w:szCs w:val="22"/>
        </w:rPr>
      </w:pPr>
    </w:p>
    <w:p w:rsidR="005712A7" w:rsidP="004E7CB3">
      <w:pPr>
        <w:rPr>
          <w:rFonts w:eastAsia="Cambria"/>
          <w:bCs/>
          <w:snapToGrid/>
          <w:sz w:val="22"/>
          <w:szCs w:val="22"/>
        </w:rPr>
      </w:pPr>
      <w:r>
        <w:rPr>
          <w:snapToGrid/>
          <w:sz w:val="22"/>
        </w:rPr>
        <w:t>Činnosti zaměřující se na interakce mezi kulturním dědictvím ve všech formách a podobách (hmo</w:t>
      </w:r>
      <w:r>
        <w:rPr>
          <w:snapToGrid/>
          <w:sz w:val="22"/>
        </w:rPr>
        <w:t xml:space="preserve">tné, nehmotné a digitální) a dalšími odvětvími, která se musejí vztahovat ke kulturním a kreativním odvětvím, jak vymezuje článek 2 nařízení Evropského parlamentu a Rady č. 1295/2013, kterým se zavádí program Kreativní Evropa. </w:t>
      </w:r>
    </w:p>
    <w:p w:rsidR="006B5FD1" w:rsidP="004E7CB3">
      <w:pPr>
        <w:rPr>
          <w:rFonts w:eastAsia="Cambria"/>
          <w:bCs/>
          <w:snapToGrid/>
          <w:sz w:val="22"/>
          <w:szCs w:val="22"/>
        </w:rPr>
      </w:pPr>
    </w:p>
    <w:p w:rsidR="004E7CB3" w:rsidRPr="00456C81" w:rsidP="004E7CB3">
      <w:pPr>
        <w:rPr>
          <w:rFonts w:eastAsia="Cambria"/>
          <w:iCs/>
          <w:snapToGrid/>
          <w:sz w:val="22"/>
          <w:szCs w:val="22"/>
        </w:rPr>
      </w:pPr>
      <w:r>
        <w:rPr>
          <w:snapToGrid/>
          <w:sz w:val="22"/>
        </w:rPr>
        <w:t>Za způsobilé nejsou považov</w:t>
      </w:r>
      <w:r>
        <w:rPr>
          <w:snapToGrid/>
          <w:sz w:val="22"/>
        </w:rPr>
        <w:t>ány činnosti související výlučně s audiovizuálními odvětvími. Audiovizuální činnosti však mohou být způsobilé, pokud doplňují činnosti zaměřené na jiná kulturní a kreativní odvětví.</w:t>
      </w:r>
    </w:p>
    <w:p w:rsidR="00C94F0D" w:rsidRPr="00456C81" w:rsidP="004E7CB3">
      <w:pPr>
        <w:rPr>
          <w:rFonts w:eastAsia="Cambria"/>
          <w:bCs/>
          <w:snapToGrid/>
          <w:sz w:val="22"/>
          <w:szCs w:val="22"/>
        </w:rPr>
      </w:pPr>
    </w:p>
    <w:p w:rsidR="00C94F0D" w:rsidRPr="00456C81" w:rsidP="004E7CB3">
      <w:pPr>
        <w:rPr>
          <w:sz w:val="22"/>
          <w:szCs w:val="22"/>
        </w:rPr>
      </w:pPr>
      <w:r>
        <w:rPr>
          <w:snapToGrid/>
          <w:sz w:val="22"/>
        </w:rPr>
        <w:t>Činnosti musí být zahájeny</w:t>
      </w:r>
      <w:r>
        <w:rPr>
          <w:sz w:val="22"/>
        </w:rPr>
        <w:t xml:space="preserve"> v období od ledna do září 2018.</w:t>
      </w:r>
    </w:p>
    <w:p w:rsidR="005712A7" w:rsidRPr="00456C81" w:rsidP="004E7CB3">
      <w:pPr>
        <w:rPr>
          <w:sz w:val="22"/>
          <w:szCs w:val="22"/>
        </w:rPr>
      </w:pPr>
    </w:p>
    <w:p w:rsidR="005712A7" w:rsidRPr="005712A7" w:rsidP="005712A7">
      <w:pPr>
        <w:spacing w:after="200" w:line="276" w:lineRule="auto"/>
        <w:contextualSpacing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 xml:space="preserve">Způsobilé </w:t>
      </w:r>
      <w:r>
        <w:rPr>
          <w:snapToGrid/>
          <w:sz w:val="22"/>
        </w:rPr>
        <w:t>nejsou tyto činnosti:</w:t>
      </w:r>
    </w:p>
    <w:p w:rsidR="005712A7" w:rsidRPr="005712A7" w:rsidP="00C671B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činnosti v oblasti výzkumu nebo cestovního ruchu související s kulturním dědictvím,</w:t>
      </w:r>
    </w:p>
    <w:p w:rsidR="005712A7" w:rsidRPr="005712A7" w:rsidP="00C671B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průzkumy (vzhledem k tomu, že v rámci Evropského roku kulturního dědictví probíhá celoevropský průzkum Eurobarometru zaměřený na kulturní dědictví),</w:t>
      </w:r>
    </w:p>
    <w:p w:rsidR="005712A7" w:rsidRPr="005712A7" w:rsidP="00C671BD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konference, výstavy, semináře atd. jako hlavní činnosti projektu (tyto druhy činností mohou být doplňkovými činnostmi projektu, zejména s ohledem na komunikační strategie a strategie šíření poznatků projektu).</w:t>
      </w:r>
    </w:p>
    <w:p w:rsidR="006B5FD1" w:rsidP="007168DC">
      <w:pPr>
        <w:rPr>
          <w:sz w:val="22"/>
          <w:szCs w:val="22"/>
        </w:rPr>
      </w:pPr>
    </w:p>
    <w:p w:rsidR="00C671BD" w:rsidP="007168DC">
      <w:pPr>
        <w:rPr>
          <w:sz w:val="22"/>
          <w:szCs w:val="22"/>
        </w:rPr>
      </w:pPr>
    </w:p>
    <w:p w:rsidR="00A143A1" w:rsidRPr="00C671BD" w:rsidP="00C671BD">
      <w:pPr>
        <w:pStyle w:val="ListParagraph"/>
        <w:numPr>
          <w:ilvl w:val="0"/>
          <w:numId w:val="5"/>
        </w:numPr>
        <w:ind w:left="426" w:hanging="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Kritéria pro udělení grantu</w:t>
      </w:r>
    </w:p>
    <w:p w:rsidR="00E7057B" w:rsidP="00C17FB1">
      <w:pPr>
        <w:rPr>
          <w:snapToGrid/>
          <w:sz w:val="22"/>
          <w:szCs w:val="22"/>
        </w:rPr>
      </w:pPr>
    </w:p>
    <w:p w:rsidR="00C17FB1" w:rsidP="00C17FB1">
      <w:pPr>
        <w:rPr>
          <w:snapToGrid/>
          <w:sz w:val="22"/>
          <w:szCs w:val="22"/>
        </w:rPr>
      </w:pPr>
      <w:r>
        <w:rPr>
          <w:snapToGrid/>
          <w:sz w:val="22"/>
        </w:rPr>
        <w:t>Způsobilost žad</w:t>
      </w:r>
      <w:r>
        <w:rPr>
          <w:snapToGrid/>
          <w:sz w:val="22"/>
        </w:rPr>
        <w:t>atelů bude posouzena na základě těchto kritérií:</w:t>
      </w:r>
    </w:p>
    <w:p w:rsidR="00507ABB" w:rsidP="00C17FB1">
      <w:pPr>
        <w:rPr>
          <w:snapToGrid/>
          <w:sz w:val="22"/>
          <w:szCs w:val="22"/>
        </w:rPr>
      </w:pPr>
    </w:p>
    <w:p w:rsidR="00507ABB" w:rsidRPr="00C671BD" w:rsidP="00C671BD">
      <w:pPr>
        <w:pStyle w:val="ListParagraph"/>
        <w:numPr>
          <w:ilvl w:val="1"/>
          <w:numId w:val="10"/>
        </w:numPr>
        <w:tabs>
          <w:tab w:val="left" w:pos="993"/>
        </w:tabs>
        <w:ind w:left="709" w:firstLine="0"/>
        <w:rPr>
          <w:sz w:val="22"/>
          <w:szCs w:val="22"/>
        </w:rPr>
      </w:pPr>
      <w:r>
        <w:rPr>
          <w:sz w:val="22"/>
        </w:rPr>
        <w:t>Relevantnost (30)</w:t>
      </w:r>
    </w:p>
    <w:p w:rsidR="00507ABB" w:rsidP="00507ABB">
      <w:pPr>
        <w:rPr>
          <w:sz w:val="22"/>
          <w:szCs w:val="22"/>
        </w:rPr>
      </w:pPr>
      <w:r>
        <w:rPr>
          <w:sz w:val="22"/>
        </w:rPr>
        <w:t>Toto kritérium hodnotí míru relevantnosti projektu k jednomu či několika z výše uvedených cílů výzvy. Projekt musí představovat udržitelný model přeshraniční spolupráce a prokazovat přidan</w:t>
      </w:r>
      <w:r>
        <w:rPr>
          <w:sz w:val="22"/>
        </w:rPr>
        <w:t>ou hodnotu na úrovni EU.</w:t>
      </w:r>
    </w:p>
    <w:p w:rsidR="006F3180" w:rsidRPr="006F3180" w:rsidP="00507ABB">
      <w:pPr>
        <w:rPr>
          <w:sz w:val="22"/>
          <w:szCs w:val="22"/>
        </w:rPr>
      </w:pPr>
    </w:p>
    <w:p w:rsidR="00507ABB" w:rsidRPr="006F3180" w:rsidP="00C671BD">
      <w:pPr>
        <w:pStyle w:val="ListParagraph"/>
        <w:numPr>
          <w:ilvl w:val="1"/>
          <w:numId w:val="10"/>
        </w:numPr>
        <w:tabs>
          <w:tab w:val="left" w:pos="993"/>
        </w:tabs>
        <w:ind w:left="567" w:firstLine="0"/>
        <w:rPr>
          <w:sz w:val="22"/>
          <w:szCs w:val="22"/>
        </w:rPr>
      </w:pPr>
      <w:r>
        <w:rPr>
          <w:sz w:val="22"/>
        </w:rPr>
        <w:t>Kvalita obsahu a aktivit (30)</w:t>
      </w:r>
    </w:p>
    <w:p w:rsidR="00507ABB" w:rsidP="00507ABB">
      <w:pPr>
        <w:rPr>
          <w:sz w:val="22"/>
          <w:szCs w:val="22"/>
        </w:rPr>
      </w:pPr>
      <w:r>
        <w:rPr>
          <w:sz w:val="22"/>
        </w:rPr>
        <w:t>Toto kritérium hodnotí, jak bude projekt realizován v praxi. Pozornost bude věnována zejména struktuře projektu a kvalitě aktivit, výsledků a cílů projektu. Je třeba poznamenat, že vybrané projekty by</w:t>
      </w:r>
      <w:r>
        <w:rPr>
          <w:sz w:val="22"/>
        </w:rPr>
        <w:t xml:space="preserve"> měly být připravené tak, aby mohly být zahájeny ihned po přidělení finančních prostředků, a jejich výsledky by měly být k dispozici v období 2018–2020, přičemž by zároveň měly usilovat o trvalý dopad i po skončení projektu.</w:t>
      </w:r>
    </w:p>
    <w:p w:rsidR="006F3180" w:rsidRPr="006F3180" w:rsidP="00507ABB">
      <w:pPr>
        <w:rPr>
          <w:sz w:val="22"/>
          <w:szCs w:val="22"/>
        </w:rPr>
      </w:pPr>
    </w:p>
    <w:p w:rsidR="00507ABB" w:rsidRPr="006F3180" w:rsidP="00C671BD">
      <w:pPr>
        <w:pStyle w:val="ListParagraph"/>
        <w:numPr>
          <w:ilvl w:val="1"/>
          <w:numId w:val="10"/>
        </w:numPr>
        <w:tabs>
          <w:tab w:val="left" w:pos="993"/>
        </w:tabs>
        <w:ind w:left="567" w:firstLine="0"/>
        <w:rPr>
          <w:sz w:val="22"/>
          <w:szCs w:val="22"/>
        </w:rPr>
      </w:pPr>
      <w:r>
        <w:rPr>
          <w:sz w:val="22"/>
        </w:rPr>
        <w:t xml:space="preserve">Komunikace a šíření (20) </w:t>
      </w:r>
    </w:p>
    <w:p w:rsidR="00507ABB" w:rsidP="00507ABB">
      <w:pPr>
        <w:rPr>
          <w:sz w:val="22"/>
          <w:szCs w:val="22"/>
        </w:rPr>
      </w:pPr>
      <w:r>
        <w:rPr>
          <w:sz w:val="22"/>
        </w:rPr>
        <w:t>Toto</w:t>
      </w:r>
      <w:r>
        <w:rPr>
          <w:sz w:val="22"/>
        </w:rPr>
        <w:t xml:space="preserve"> kritérium hodnotí přístup projektu z hlediska sdělování informací o činnostech a výsledcích a sdílení znalostí a zkušeností. Účelem je zajistit, aby výsledky projektu měly co největší dopad tím, že budou zpřístupněny co nejširšímu publiku na místní, regio</w:t>
      </w:r>
      <w:r>
        <w:rPr>
          <w:sz w:val="22"/>
        </w:rPr>
        <w:t xml:space="preserve">nální, vnitrostátní i evropské úrovni. Financované činnosti by měly být jasně spojené s Evropským rokem kulturního dědictví 2016 a budou součástí komunikační strategie ERKD 2018 a jeho odkazu. </w:t>
      </w:r>
    </w:p>
    <w:p w:rsidR="006F3180" w:rsidRPr="006F3180" w:rsidP="00507ABB">
      <w:pPr>
        <w:rPr>
          <w:sz w:val="22"/>
          <w:szCs w:val="22"/>
        </w:rPr>
      </w:pPr>
    </w:p>
    <w:p w:rsidR="00507ABB" w:rsidRPr="006F3180" w:rsidP="00C671BD">
      <w:pPr>
        <w:pStyle w:val="ListParagraph"/>
        <w:numPr>
          <w:ilvl w:val="1"/>
          <w:numId w:val="10"/>
        </w:numPr>
        <w:tabs>
          <w:tab w:val="left" w:pos="993"/>
        </w:tabs>
        <w:ind w:left="567" w:firstLine="0"/>
        <w:rPr>
          <w:sz w:val="22"/>
          <w:szCs w:val="22"/>
        </w:rPr>
      </w:pPr>
      <w:r>
        <w:rPr>
          <w:sz w:val="22"/>
        </w:rPr>
        <w:t>Kvalita partnerství (20)</w:t>
      </w:r>
    </w:p>
    <w:p w:rsidR="00507ABB" w:rsidRPr="006F3180" w:rsidP="00507ABB">
      <w:pPr>
        <w:rPr>
          <w:sz w:val="22"/>
          <w:szCs w:val="22"/>
        </w:rPr>
      </w:pPr>
      <w:r>
        <w:rPr>
          <w:sz w:val="22"/>
        </w:rPr>
        <w:t>Toto kritérium hodnotí míru, do jaké</w:t>
      </w:r>
      <w:r>
        <w:rPr>
          <w:sz w:val="22"/>
        </w:rPr>
        <w:t xml:space="preserve"> obecná organizace a koordinace projektu zajistí efektivní provádění činností a přispěje k jejich udržitelnosti.</w:t>
      </w:r>
    </w:p>
    <w:p w:rsidR="00363F62" w:rsidP="00C17FB1">
      <w:pPr>
        <w:rPr>
          <w:snapToGrid/>
          <w:sz w:val="22"/>
          <w:szCs w:val="22"/>
        </w:rPr>
      </w:pPr>
    </w:p>
    <w:p w:rsidR="00C671BD" w:rsidP="00C17FB1">
      <w:pPr>
        <w:rPr>
          <w:snapToGrid/>
          <w:sz w:val="22"/>
          <w:szCs w:val="22"/>
        </w:rPr>
      </w:pPr>
    </w:p>
    <w:p w:rsidR="00C94F0D" w:rsidRPr="00C671BD" w:rsidP="00C671BD">
      <w:pPr>
        <w:pStyle w:val="ListParagraph"/>
        <w:numPr>
          <w:ilvl w:val="0"/>
          <w:numId w:val="5"/>
        </w:numPr>
        <w:ind w:left="426" w:hanging="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Rozpočet</w:t>
      </w:r>
    </w:p>
    <w:p w:rsidR="00C94F0D" w:rsidP="00C17FB1">
      <w:pPr>
        <w:rPr>
          <w:snapToGrid/>
          <w:sz w:val="22"/>
          <w:szCs w:val="22"/>
        </w:rPr>
      </w:pPr>
    </w:p>
    <w:p w:rsidR="00C94F0D" w:rsidRPr="00C94F0D" w:rsidP="00C17FB1">
      <w:pPr>
        <w:rPr>
          <w:snapToGrid/>
          <w:sz w:val="22"/>
          <w:szCs w:val="22"/>
        </w:rPr>
      </w:pPr>
      <w:r>
        <w:rPr>
          <w:snapToGrid/>
          <w:sz w:val="22"/>
        </w:rPr>
        <w:t xml:space="preserve">Celkový odhadovaný rozpočet vyčleněný na tuto výzvu k předkládání návrhů činí 5 milionů EUR. </w:t>
      </w:r>
    </w:p>
    <w:p w:rsidR="00B33D87" w:rsidRPr="004804EF" w:rsidP="009C48AE">
      <w:pPr>
        <w:rPr>
          <w:snapToGrid/>
          <w:sz w:val="22"/>
          <w:szCs w:val="22"/>
        </w:rPr>
      </w:pPr>
    </w:p>
    <w:p w:rsidR="004804EF" w:rsidP="009C48AE">
      <w:pPr>
        <w:rPr>
          <w:snapToGrid/>
          <w:sz w:val="22"/>
          <w:szCs w:val="22"/>
        </w:rPr>
      </w:pPr>
      <w:r>
        <w:rPr>
          <w:snapToGrid/>
          <w:sz w:val="22"/>
        </w:rPr>
        <w:t xml:space="preserve">Agentura si vyhrazuje právo </w:t>
      </w:r>
      <w:r>
        <w:rPr>
          <w:snapToGrid/>
          <w:sz w:val="22"/>
        </w:rPr>
        <w:t>nerozdělit všechny dostupné finanční prostředky.</w:t>
      </w:r>
    </w:p>
    <w:p w:rsidR="00363F62" w:rsidP="009C48AE">
      <w:pPr>
        <w:rPr>
          <w:snapToGrid/>
          <w:sz w:val="22"/>
          <w:szCs w:val="22"/>
        </w:rPr>
      </w:pPr>
    </w:p>
    <w:p w:rsidR="00363F62" w:rsidP="009C48AE">
      <w:pPr>
        <w:rPr>
          <w:snapToGrid/>
          <w:sz w:val="22"/>
          <w:szCs w:val="22"/>
        </w:rPr>
      </w:pPr>
    </w:p>
    <w:p w:rsidR="00363F62" w:rsidRPr="00C671BD" w:rsidP="00C671BD">
      <w:pPr>
        <w:pStyle w:val="ListParagraph"/>
        <w:numPr>
          <w:ilvl w:val="0"/>
          <w:numId w:val="5"/>
        </w:numPr>
        <w:ind w:left="426" w:hanging="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Uzávěrka pro podání žádostí</w:t>
      </w:r>
    </w:p>
    <w:p w:rsidR="00D74EBC" w:rsidP="00FC685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63F62" w:rsidP="00C671BD">
      <w:pPr>
        <w:autoSpaceDE w:val="0"/>
        <w:autoSpaceDN w:val="0"/>
        <w:adjustRightInd w:val="0"/>
        <w:rPr>
          <w:snapToGrid/>
          <w:spacing w:val="-3"/>
          <w:sz w:val="22"/>
          <w:szCs w:val="22"/>
        </w:rPr>
      </w:pPr>
      <w:r>
        <w:rPr>
          <w:snapToGrid/>
          <w:sz w:val="22"/>
        </w:rPr>
        <w:t xml:space="preserve">Žádosti musí být výkonné agentuře (EACEA) podány a doručeny prostřednictvím elektronického formuláře žádosti nejpozději </w:t>
      </w:r>
      <w:r>
        <w:rPr>
          <w:b/>
          <w:snapToGrid/>
          <w:spacing w:val="-3"/>
          <w:sz w:val="22"/>
        </w:rPr>
        <w:t>22. listopadu 2017 ve 12:00 hodin SEČ/SELČ</w:t>
      </w:r>
      <w:r>
        <w:rPr>
          <w:snapToGrid/>
          <w:sz w:val="22"/>
        </w:rPr>
        <w:t xml:space="preserve"> (poledne brus</w:t>
      </w:r>
      <w:r>
        <w:rPr>
          <w:snapToGrid/>
          <w:sz w:val="22"/>
        </w:rPr>
        <w:t>elského času).</w:t>
      </w:r>
    </w:p>
    <w:p w:rsidR="00C671BD" w:rsidP="00C671BD">
      <w:pPr>
        <w:autoSpaceDE w:val="0"/>
        <w:autoSpaceDN w:val="0"/>
        <w:adjustRightInd w:val="0"/>
        <w:rPr>
          <w:snapToGrid/>
          <w:spacing w:val="-3"/>
          <w:sz w:val="22"/>
          <w:szCs w:val="22"/>
        </w:rPr>
      </w:pPr>
    </w:p>
    <w:p w:rsidR="00C671BD" w:rsidRPr="00363F62" w:rsidP="00C671BD">
      <w:pPr>
        <w:autoSpaceDE w:val="0"/>
        <w:autoSpaceDN w:val="0"/>
        <w:adjustRightInd w:val="0"/>
        <w:rPr>
          <w:snapToGrid/>
          <w:spacing w:val="-3"/>
          <w:sz w:val="22"/>
          <w:szCs w:val="22"/>
        </w:rPr>
      </w:pPr>
    </w:p>
    <w:p w:rsidR="00363F62" w:rsidP="00C671BD">
      <w:pPr>
        <w:autoSpaceDE w:val="0"/>
        <w:autoSpaceDN w:val="0"/>
        <w:adjustRightInd w:val="0"/>
        <w:spacing w:line="276" w:lineRule="auto"/>
        <w:rPr>
          <w:bCs/>
          <w:snapToGrid/>
          <w:sz w:val="22"/>
          <w:szCs w:val="22"/>
        </w:rPr>
      </w:pPr>
      <w:r>
        <w:rPr>
          <w:snapToGrid/>
          <w:sz w:val="22"/>
        </w:rPr>
        <w:t>Jiný způsob podání žádosti není povolen.</w:t>
      </w:r>
    </w:p>
    <w:p w:rsidR="00C671BD" w:rsidRPr="00363F62" w:rsidP="00C671BD">
      <w:pPr>
        <w:autoSpaceDE w:val="0"/>
        <w:autoSpaceDN w:val="0"/>
        <w:adjustRightInd w:val="0"/>
        <w:spacing w:line="276" w:lineRule="auto"/>
        <w:rPr>
          <w:bCs/>
          <w:snapToGrid/>
          <w:sz w:val="22"/>
          <w:szCs w:val="22"/>
        </w:rPr>
      </w:pPr>
    </w:p>
    <w:p w:rsidR="00363F62" w:rsidRPr="00363F62" w:rsidP="00C671BD">
      <w:pPr>
        <w:autoSpaceDE w:val="0"/>
        <w:autoSpaceDN w:val="0"/>
        <w:adjustRightInd w:val="0"/>
        <w:spacing w:line="276" w:lineRule="auto"/>
        <w:rPr>
          <w:snapToGrid/>
          <w:sz w:val="22"/>
          <w:szCs w:val="22"/>
        </w:rPr>
      </w:pPr>
      <w:r>
        <w:rPr>
          <w:snapToGrid/>
          <w:sz w:val="22"/>
        </w:rPr>
        <w:t>Žadatelé musí zajistit, aby předložili všechny dokumenty požadované a uvedené v elektronickém formuláři.</w:t>
      </w:r>
    </w:p>
    <w:p w:rsidR="00A949D1" w:rsidP="00A949D1">
      <w:pPr>
        <w:rPr>
          <w:sz w:val="22"/>
          <w:szCs w:val="22"/>
          <w:highlight w:val="green"/>
        </w:rPr>
      </w:pPr>
    </w:p>
    <w:p w:rsidR="00363F62" w:rsidP="00A949D1">
      <w:pPr>
        <w:rPr>
          <w:sz w:val="22"/>
          <w:szCs w:val="22"/>
          <w:highlight w:val="green"/>
        </w:rPr>
      </w:pPr>
    </w:p>
    <w:p w:rsidR="00363F62" w:rsidRPr="00C671BD" w:rsidP="00C671BD">
      <w:pPr>
        <w:pStyle w:val="ListParagraph"/>
        <w:numPr>
          <w:ilvl w:val="0"/>
          <w:numId w:val="5"/>
        </w:numPr>
        <w:ind w:left="426" w:hanging="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Podrobné informace</w:t>
      </w:r>
    </w:p>
    <w:p w:rsidR="00363F62" w:rsidP="00363F62">
      <w:pPr>
        <w:rPr>
          <w:b/>
          <w:smallCaps/>
          <w:snapToGrid/>
          <w:sz w:val="22"/>
          <w:szCs w:val="22"/>
        </w:rPr>
      </w:pPr>
    </w:p>
    <w:p w:rsidR="00570776" w:rsidRPr="00363F62" w:rsidP="00363F62">
      <w:pPr>
        <w:rPr>
          <w:snapToGrid/>
          <w:sz w:val="22"/>
          <w:szCs w:val="22"/>
        </w:rPr>
      </w:pPr>
      <w:r>
        <w:rPr>
          <w:snapToGrid/>
          <w:sz w:val="22"/>
        </w:rPr>
        <w:t xml:space="preserve">Úplný text pokynů a formuláře žádostí jsou k dispozici na této adrese: </w:t>
      </w:r>
    </w:p>
    <w:p w:rsidR="00570776" w:rsidP="00363F62">
      <w:pPr>
        <w:rPr>
          <w:rFonts w:eastAsia="Cambria"/>
          <w:snapToGrid/>
          <w:sz w:val="22"/>
          <w:szCs w:val="22"/>
        </w:rPr>
      </w:pPr>
      <w:r>
        <w:fldChar w:fldCharType="begin"/>
      </w:r>
      <w:r>
        <w:instrText xml:space="preserve"> HYPERLINK "https://eacea.ec.europa.eu/creative-europe/funding/support-european-cooperation-projects-2018_en" </w:instrText>
      </w:r>
      <w:r>
        <w:fldChar w:fldCharType="separate"/>
      </w:r>
      <w:r>
        <w:rPr>
          <w:snapToGrid/>
          <w:color w:val="0000FF"/>
          <w:sz w:val="22"/>
          <w:u w:val="single"/>
        </w:rPr>
        <w:t>https://eacea.ec.europa.eu/creative-europe/funding/support-european-cooperat</w:t>
      </w:r>
      <w:r>
        <w:rPr>
          <w:snapToGrid/>
          <w:color w:val="0000FF"/>
          <w:sz w:val="22"/>
          <w:u w:val="single"/>
        </w:rPr>
        <w:t>ion-projects-2018_en</w:t>
      </w:r>
      <w:r>
        <w:fldChar w:fldCharType="end"/>
      </w:r>
    </w:p>
    <w:p w:rsidR="00570776" w:rsidRPr="00363F62" w:rsidP="00363F62">
      <w:pPr>
        <w:rPr>
          <w:snapToGrid/>
          <w:sz w:val="22"/>
          <w:szCs w:val="22"/>
        </w:rPr>
      </w:pPr>
    </w:p>
    <w:p w:rsidR="00570776" w:rsidP="00C671BD">
      <w:pPr>
        <w:rPr>
          <w:snapToGrid/>
          <w:sz w:val="22"/>
          <w:szCs w:val="22"/>
        </w:rPr>
      </w:pPr>
      <w:r>
        <w:rPr>
          <w:snapToGrid/>
          <w:sz w:val="22"/>
        </w:rPr>
        <w:t>Žádosti musí splňovat veškeré podmínky uvedené v pokynech a musí být předloženy na předepsaných formulářích.</w:t>
      </w:r>
    </w:p>
    <w:p w:rsidR="00C671BD" w:rsidP="00C671BD">
      <w:pPr>
        <w:rPr>
          <w:snapToGrid/>
          <w:sz w:val="22"/>
          <w:szCs w:val="22"/>
        </w:rPr>
      </w:pPr>
    </w:p>
    <w:p w:rsidR="00C671BD" w:rsidP="00C671BD">
      <w:pPr>
        <w:rPr>
          <w:snapToGrid/>
          <w:sz w:val="22"/>
          <w:szCs w:val="22"/>
        </w:rPr>
      </w:pPr>
    </w:p>
    <w:p w:rsidR="00570776" w:rsidRPr="00570776" w:rsidP="00570776">
      <w:pPr>
        <w:keepNext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V případě zájmu o další informace se obraťte na kancelář programu Kreativní Evropa:</w:t>
      </w:r>
    </w:p>
    <w:p w:rsidR="00570776" w:rsidRPr="00570776" w:rsidP="00570776">
      <w:pPr>
        <w:keepNext/>
        <w:rPr>
          <w:rFonts w:eastAsia="Cambria"/>
          <w:snapToGrid/>
          <w:sz w:val="22"/>
          <w:szCs w:val="22"/>
        </w:rPr>
      </w:pPr>
      <w:r>
        <w:fldChar w:fldCharType="begin"/>
      </w:r>
      <w:r>
        <w:instrText xml:space="preserve"> HYPERLINK "https://ec.europa.eu/programmes/creative-europe/contact_en" </w:instrText>
      </w:r>
      <w:r>
        <w:fldChar w:fldCharType="separate"/>
      </w:r>
      <w:r>
        <w:rPr>
          <w:snapToGrid/>
          <w:color w:val="0000FF"/>
          <w:sz w:val="22"/>
          <w:u w:val="single"/>
        </w:rPr>
        <w:t>https://ec.europa.eu/programmes/creative-europe/contact_en</w:t>
      </w:r>
      <w:r>
        <w:fldChar w:fldCharType="end"/>
      </w:r>
    </w:p>
    <w:p w:rsidR="00570776" w:rsidRPr="00570776" w:rsidP="00570776">
      <w:pPr>
        <w:keepNext/>
        <w:rPr>
          <w:rFonts w:eastAsia="Cambria"/>
          <w:snapToGrid/>
          <w:sz w:val="22"/>
          <w:szCs w:val="22"/>
        </w:rPr>
      </w:pPr>
    </w:p>
    <w:p w:rsidR="00570776" w:rsidRPr="00570776" w:rsidP="00570776">
      <w:pPr>
        <w:keepNext/>
        <w:rPr>
          <w:rFonts w:eastAsia="Cambria"/>
          <w:snapToGrid/>
          <w:sz w:val="22"/>
          <w:szCs w:val="22"/>
        </w:rPr>
      </w:pPr>
      <w:r>
        <w:rPr>
          <w:snapToGrid/>
          <w:sz w:val="22"/>
        </w:rPr>
        <w:t>Kontakt v rámci agentury:</w:t>
      </w:r>
    </w:p>
    <w:p w:rsidR="00570776" w:rsidRPr="00570776" w:rsidP="00570776">
      <w:pPr>
        <w:keepNext/>
        <w:rPr>
          <w:rFonts w:eastAsia="Cambria"/>
          <w:snapToGrid/>
          <w:sz w:val="22"/>
          <w:szCs w:val="22"/>
        </w:rPr>
      </w:pPr>
      <w:r>
        <w:fldChar w:fldCharType="begin"/>
      </w:r>
      <w:r>
        <w:instrText xml:space="preserve"> HYPERLINK "mailto:EACEA-CREATIVE-EUROPE-COOPERATIONPROJECTS@ec.europa.eu" </w:instrText>
      </w:r>
      <w:r>
        <w:fldChar w:fldCharType="separate"/>
      </w:r>
      <w:r>
        <w:rPr>
          <w:snapToGrid/>
          <w:color w:val="0000FF"/>
          <w:sz w:val="22"/>
          <w:u w:val="single"/>
        </w:rPr>
        <w:t>EACEA-CREATIVE-EUROPE-COOPERATIONPROJECTS@ec.europa.eu</w:t>
      </w:r>
      <w:r>
        <w:fldChar w:fldCharType="end"/>
      </w:r>
    </w:p>
    <w:sectPr w:rsidSect="0016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E9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1DA9">
      <w:rPr>
        <w:rStyle w:val="PageNumber"/>
        <w:noProof/>
      </w:rPr>
      <w:t>4</w:t>
    </w:r>
    <w:r>
      <w:rPr>
        <w:rStyle w:val="PageNumber"/>
      </w:rPr>
      <w:fldChar w:fldCharType="end"/>
    </w:r>
  </w:p>
  <w:p w:rsidR="002C6E99" w:rsidRPr="00E72FAA" w:rsidP="00E72FA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E159D">
      <w:r>
        <w:separator/>
      </w:r>
    </w:p>
  </w:footnote>
  <w:footnote w:type="continuationSeparator" w:id="1">
    <w:p w:rsidR="001E159D">
      <w:r>
        <w:continuationSeparator/>
      </w:r>
    </w:p>
  </w:footnote>
  <w:footnote w:id="2">
    <w:p w:rsidR="006F6E97" w:rsidRPr="00A97B4B" w:rsidP="006F6E97">
      <w:pPr>
        <w:pStyle w:val="FootnoteText"/>
      </w:pPr>
      <w:r>
        <w:rPr>
          <w:rStyle w:val="FootnoteReference"/>
        </w:rPr>
        <w:footnoteRef/>
      </w:r>
      <w:r>
        <w:t xml:space="preserve"> Nařízení Evropského parlamentu a Rady č. 1295/2013, kterým se zavádí program Kreativní Evropa, bylo vyhlášeno v Úředním věstníku Evropské unie dne 20. prosince 2013 </w:t>
      </w:r>
      <w:r>
        <w:t>(Úř. věst. L 347, s. 221).</w:t>
      </w:r>
    </w:p>
  </w:footnote>
  <w:footnote w:id="3">
    <w:p w:rsidR="006F6E97" w:rsidRPr="0052039F" w:rsidP="006F6E97">
      <w:pPr>
        <w:pStyle w:val="FootnoteText"/>
      </w:pPr>
      <w:r>
        <w:rPr>
          <w:rStyle w:val="FootnoteReference"/>
        </w:rPr>
        <w:footnoteRef/>
      </w:r>
      <w:r>
        <w:t xml:space="preserve"> Vyhlášené v Úředním věstníku Evropské unie dne 27. června 2014 (Úř. věst. L 189/260).</w:t>
      </w:r>
    </w:p>
  </w:footnote>
  <w:footnote w:id="4">
    <w:p w:rsidR="007C4012" w:rsidRPr="002313C8" w:rsidP="007C4012">
      <w:pPr>
        <w:pStyle w:val="FootnoteText"/>
      </w:pPr>
      <w:r>
        <w:rPr>
          <w:vertAlign w:val="superscript"/>
        </w:rPr>
        <w:footnoteRef/>
      </w:r>
      <w:r>
        <w:t xml:space="preserve"> Rozhodnutí naleznete na adrese: </w:t>
      </w:r>
      <w:r>
        <w:fldChar w:fldCharType="begin"/>
      </w:r>
      <w:r>
        <w:instrText xml:space="preserve"> HYPERLINK "http://eur-lex.europa.eu/legal-content/EN/TXT/?uri=uriserv:OJ.L_.2017.131.01.0001.01.ENG&amp;amp;amp;toc=OJ:L:2017:131:TOC" </w:instrText>
      </w:r>
      <w:r>
        <w:fldChar w:fldCharType="separate"/>
      </w:r>
      <w:r>
        <w:t>http://eur-lex.europa.eu/legal-content/EN/TXT/?uri=uriserv:OJ.L_.2017.131.01.0001.01.ENG&amp;toc=OJ:L:2017:131:TOC</w:t>
      </w:r>
      <w:r>
        <w:fldChar w:fldCharType="end"/>
      </w:r>
      <w:r>
        <w:t xml:space="preserve">. </w:t>
      </w:r>
    </w:p>
  </w:footnote>
  <w:footnote w:id="5">
    <w:p w:rsidR="00877609" w:rsidRPr="0022770A" w:rsidP="00877609">
      <w:pPr>
        <w:pStyle w:val="FootnoteText"/>
      </w:pPr>
      <w:r>
        <w:rPr>
          <w:rStyle w:val="FootnoteReference"/>
        </w:rPr>
        <w:footnoteRef/>
      </w:r>
      <w:r>
        <w:t xml:space="preserve"> Rozhodnutí Rady 2001/822/ES ze dne 27. listopadu 2001 o přidružení zámořských zemí a území k Evropskému společenstv</w:t>
      </w:r>
      <w:r>
        <w:t>í („rozhodnutí o přidružení zámoří“), Úř. věst. L 314, 30.11.2001, s. 1).</w:t>
      </w:r>
    </w:p>
  </w:footnote>
  <w:footnote w:id="6">
    <w:p w:rsidR="005712A7" w:rsidRPr="00C671BD" w:rsidP="005712A7">
      <w:pPr>
        <w:pStyle w:val="FootnoteText"/>
      </w:pPr>
      <w:r>
        <w:rPr>
          <w:rStyle w:val="FootnoteReference"/>
        </w:rPr>
        <w:footnoteRef/>
      </w:r>
      <w:r>
        <w:t xml:space="preserve"> Rozhodnutí naleznete na adrese: </w:t>
      </w:r>
      <w:r>
        <w:fldChar w:fldCharType="begin"/>
      </w:r>
      <w:r>
        <w:instrText xml:space="preserve"> HYPERLINK "http://eur-lex.europa.eu/legal-content/EN/TXT/?uri=uriserv:OJ.L_.2017.131.01.0001.01.ENG&amp;amp;amp;toc=OJ:L:2017:131:TOC" </w:instrText>
      </w:r>
      <w:r>
        <w:fldChar w:fldCharType="separate"/>
      </w:r>
      <w:r>
        <w:t>http://eur-lex.eur</w:t>
      </w:r>
      <w:r>
        <w:t>opa.eu/legal-content/EN/TXT/?uri=uriserv:OJ.L_.2017.131.01.0001.01.ENG&amp;toc=OJ:L:2017:131:TOC</w:t>
      </w:r>
      <w:r>
        <w:fldChar w:fldCharType="end"/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1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1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411A6"/>
    <w:multiLevelType w:val="singleLevel"/>
    <w:tmpl w:val="891A2EB2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">
    <w:nsid w:val="180249D7"/>
    <w:multiLevelType w:val="hybridMultilevel"/>
    <w:tmpl w:val="DF208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4227"/>
    <w:multiLevelType w:val="hybridMultilevel"/>
    <w:tmpl w:val="D10E8C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9224A"/>
    <w:multiLevelType w:val="hybridMultilevel"/>
    <w:tmpl w:val="42F2B604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4963"/>
    <w:multiLevelType w:val="hybridMultilevel"/>
    <w:tmpl w:val="2B9E9F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07FED"/>
    <w:multiLevelType w:val="hybridMultilevel"/>
    <w:tmpl w:val="3E98B7A2"/>
    <w:lvl w:ilvl="0">
      <w:start w:val="1"/>
      <w:numFmt w:val="decimal"/>
      <w:lvlText w:val="(%1)"/>
      <w:lvlJc w:val="left"/>
      <w:pPr>
        <w:ind w:left="11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57" w:hanging="180"/>
      </w:pPr>
    </w:lvl>
    <w:lvl w:ilvl="3" w:tentative="1">
      <w:start w:val="1"/>
      <w:numFmt w:val="decimal"/>
      <w:lvlText w:val="%4."/>
      <w:lvlJc w:val="left"/>
      <w:pPr>
        <w:ind w:left="3277" w:hanging="360"/>
      </w:pPr>
    </w:lvl>
    <w:lvl w:ilvl="4" w:tentative="1">
      <w:start w:val="1"/>
      <w:numFmt w:val="lowerLetter"/>
      <w:lvlText w:val="%5."/>
      <w:lvlJc w:val="left"/>
      <w:pPr>
        <w:ind w:left="3997" w:hanging="360"/>
      </w:pPr>
    </w:lvl>
    <w:lvl w:ilvl="5" w:tentative="1">
      <w:start w:val="1"/>
      <w:numFmt w:val="lowerRoman"/>
      <w:lvlText w:val="%6."/>
      <w:lvlJc w:val="right"/>
      <w:pPr>
        <w:ind w:left="4717" w:hanging="180"/>
      </w:pPr>
    </w:lvl>
    <w:lvl w:ilvl="6" w:tentative="1">
      <w:start w:val="1"/>
      <w:numFmt w:val="decimal"/>
      <w:lvlText w:val="%7."/>
      <w:lvlJc w:val="left"/>
      <w:pPr>
        <w:ind w:left="5437" w:hanging="360"/>
      </w:pPr>
    </w:lvl>
    <w:lvl w:ilvl="7" w:tentative="1">
      <w:start w:val="1"/>
      <w:numFmt w:val="lowerLetter"/>
      <w:lvlText w:val="%8."/>
      <w:lvlJc w:val="left"/>
      <w:pPr>
        <w:ind w:left="6157" w:hanging="360"/>
      </w:pPr>
    </w:lvl>
    <w:lvl w:ilvl="8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3A924301"/>
    <w:multiLevelType w:val="multilevel"/>
    <w:tmpl w:val="43161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B4D3362"/>
    <w:multiLevelType w:val="hybridMultilevel"/>
    <w:tmpl w:val="B61868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F7E77"/>
    <w:multiLevelType w:val="hybridMultilevel"/>
    <w:tmpl w:val="E1147ABE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EC300CA"/>
    <w:multiLevelType w:val="singleLevel"/>
    <w:tmpl w:val="055ABBD0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m:mathPr>
    <m:mathFont m:val="Cambria Math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E7AEA2F-3B48-4F84-9D85-9CADB30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CC"/>
    <w:pPr>
      <w:jc w:val="both"/>
    </w:pPr>
    <w:rPr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Char,Char Car,Footnote Text Char,Footnote Text Char Char Char,Footnote Text Char1 Char,GM_Fußnotentext,Hyperlink1,Note de bas de page Car,Schriftart: 10 pt,Schriftart: 8 pt,Schriftart: 9 pt,Tekst przypisu,WB-Fußnotentext"/>
    <w:basedOn w:val="Normal"/>
    <w:link w:val="FootnoteTextChar1"/>
    <w:uiPriority w:val="99"/>
    <w:rsid w:val="001C6CCC"/>
    <w:rPr>
      <w:sz w:val="20"/>
      <w:szCs w:val="20"/>
    </w:rPr>
  </w:style>
  <w:style w:type="character" w:styleId="FootnoteReference">
    <w:name w:val="footnote reference"/>
    <w:aliases w:val="Footnote,Footnote symbol"/>
    <w:uiPriority w:val="99"/>
    <w:rsid w:val="001C6CCC"/>
    <w:rPr>
      <w:vertAlign w:val="superscript"/>
    </w:rPr>
  </w:style>
  <w:style w:type="paragraph" w:customStyle="1" w:styleId="StyleHeading3Arial12ptNotBoldAutoFirstline05cm">
    <w:name w:val="Style Heading 3 + Arial 12 pt Not Bold Auto First line:  05 cm"/>
    <w:basedOn w:val="Heading1"/>
    <w:rsid w:val="001C6CCC"/>
    <w:pPr>
      <w:keepNext w:val="0"/>
      <w:tabs>
        <w:tab w:val="left" w:pos="284"/>
      </w:tabs>
      <w:spacing w:before="100" w:beforeAutospacing="1" w:after="100" w:afterAutospacing="1"/>
      <w:ind w:firstLine="284"/>
    </w:pPr>
    <w:rPr>
      <w:b w:val="0"/>
      <w:bCs w:val="0"/>
      <w:kern w:val="36"/>
      <w:sz w:val="24"/>
      <w:szCs w:val="24"/>
    </w:rPr>
  </w:style>
  <w:style w:type="character" w:styleId="Hyperlink">
    <w:name w:val="Hyperlink"/>
    <w:rsid w:val="001C6CCC"/>
    <w:rPr>
      <w:color w:val="0000FF"/>
      <w:u w:val="single"/>
    </w:rPr>
  </w:style>
  <w:style w:type="character" w:customStyle="1" w:styleId="StyleHeading3">
    <w:name w:val="Style Heading 3"/>
    <w:rsid w:val="001C6CCC"/>
    <w:rPr>
      <w:rFonts w:ascii="Arial" w:hAnsi="Arial" w:cs="Arial"/>
    </w:rPr>
  </w:style>
  <w:style w:type="paragraph" w:customStyle="1" w:styleId="ArialJustifiedLeft05cm">
    <w:name w:val="Arial Justified Left:  05 cm"/>
    <w:basedOn w:val="Normal"/>
    <w:rsid w:val="001C6CCC"/>
    <w:pPr>
      <w:ind w:left="284"/>
    </w:pPr>
    <w:rPr>
      <w:rFonts w:ascii="Arial" w:hAnsi="Arial" w:cs="Arial"/>
    </w:rPr>
  </w:style>
  <w:style w:type="paragraph" w:customStyle="1" w:styleId="StyleHeading1Arial12pt">
    <w:name w:val="Style Heading 1 + Arial 12 pt"/>
    <w:basedOn w:val="Heading1"/>
    <w:rsid w:val="001C6CCC"/>
    <w:pPr>
      <w:keepNext w:val="0"/>
      <w:spacing w:before="100" w:beforeAutospacing="1" w:after="100" w:afterAutospacing="1"/>
    </w:pPr>
    <w:rPr>
      <w:kern w:val="36"/>
      <w:sz w:val="24"/>
      <w:szCs w:val="24"/>
    </w:rPr>
  </w:style>
  <w:style w:type="paragraph" w:styleId="Footer">
    <w:name w:val="footer"/>
    <w:basedOn w:val="Normal"/>
    <w:rsid w:val="001C6C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C6CCC"/>
  </w:style>
  <w:style w:type="paragraph" w:styleId="NormalWeb">
    <w:name w:val="Normal (Web)"/>
    <w:basedOn w:val="Normal"/>
    <w:rsid w:val="001C6CCC"/>
    <w:pPr>
      <w:spacing w:before="100" w:beforeAutospacing="1" w:after="100" w:afterAutospacing="1"/>
    </w:pPr>
  </w:style>
  <w:style w:type="paragraph" w:customStyle="1" w:styleId="bodytext">
    <w:name w:val="bodytext"/>
    <w:basedOn w:val="Normal"/>
    <w:rsid w:val="001C6C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rialBold">
    <w:name w:val="Arial Bold"/>
    <w:rsid w:val="001C6CCC"/>
    <w:rPr>
      <w:rFonts w:ascii="Arial" w:hAnsi="Arial" w:cs="Arial"/>
      <w:b/>
      <w:bCs/>
    </w:rPr>
  </w:style>
  <w:style w:type="paragraph" w:styleId="ListBullet">
    <w:name w:val="List Bullet"/>
    <w:basedOn w:val="Normal"/>
    <w:autoRedefine/>
    <w:rsid w:val="001C6CCC"/>
    <w:pPr>
      <w:spacing w:before="100" w:beforeAutospacing="1"/>
    </w:pPr>
    <w:rPr>
      <w:rFonts w:ascii="Arial" w:hAnsi="Arial" w:cs="Arial"/>
      <w:noProof/>
    </w:rPr>
  </w:style>
  <w:style w:type="character" w:customStyle="1" w:styleId="StyleArialBoldUnderline">
    <w:name w:val="Style Arial Bold Underline"/>
    <w:rsid w:val="001C6CCC"/>
    <w:rPr>
      <w:rFonts w:ascii="Arial" w:hAnsi="Arial" w:cs="Arial"/>
      <w:b/>
      <w:bCs/>
      <w:u w:val="single"/>
    </w:rPr>
  </w:style>
  <w:style w:type="paragraph" w:styleId="DocumentMap">
    <w:name w:val="Document Map"/>
    <w:basedOn w:val="Normal"/>
    <w:semiHidden/>
    <w:rsid w:val="001C6CCC"/>
    <w:pPr>
      <w:shd w:val="clear" w:color="auto" w:fill="000080"/>
    </w:pPr>
    <w:rPr>
      <w:sz w:val="20"/>
      <w:szCs w:val="20"/>
    </w:rPr>
  </w:style>
  <w:style w:type="character" w:customStyle="1" w:styleId="tw4winMark">
    <w:name w:val="tw4winMark"/>
    <w:rsid w:val="001C6CCC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ZchnZchnCharCharZchnZchnCharChar">
    <w:name w:val="Zchn Zchn Char Char Zchn Zchn Char Char"/>
    <w:basedOn w:val="Normal"/>
    <w:next w:val="Normal"/>
    <w:rsid w:val="001C6CCC"/>
    <w:pPr>
      <w:spacing w:after="160" w:line="240" w:lineRule="exact"/>
    </w:pPr>
  </w:style>
  <w:style w:type="character" w:customStyle="1" w:styleId="tw4winError">
    <w:name w:val="tw4winError"/>
    <w:rsid w:val="001C6CCC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C6CCC"/>
    <w:rPr>
      <w:color w:val="0000FF"/>
    </w:rPr>
  </w:style>
  <w:style w:type="character" w:customStyle="1" w:styleId="tw4winPopup">
    <w:name w:val="tw4winPopup"/>
    <w:rsid w:val="001C6CCC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C6CCC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C6CCC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C6CCC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C6CCC"/>
    <w:rPr>
      <w:rFonts w:ascii="Courier New" w:hAnsi="Courier New" w:cs="Courier New"/>
      <w:noProof/>
      <w:color w:val="800000"/>
    </w:rPr>
  </w:style>
  <w:style w:type="paragraph" w:styleId="BodyTextIndent">
    <w:name w:val="Body Text Indent"/>
    <w:basedOn w:val="Normal"/>
    <w:rsid w:val="001C6CCC"/>
    <w:pPr>
      <w:autoSpaceDE w:val="0"/>
      <w:autoSpaceDN w:val="0"/>
      <w:adjustRightInd w:val="0"/>
      <w:ind w:left="720" w:hanging="720"/>
    </w:pPr>
    <w:rPr>
      <w:rFonts w:ascii="Arial" w:hAnsi="Arial"/>
    </w:rPr>
  </w:style>
  <w:style w:type="character" w:styleId="FollowedHyperlink">
    <w:name w:val="FollowedHyperlink"/>
    <w:rsid w:val="00930C32"/>
    <w:rPr>
      <w:color w:val="800080"/>
      <w:u w:val="single"/>
    </w:rPr>
  </w:style>
  <w:style w:type="paragraph" w:customStyle="1" w:styleId="ManualHeading1">
    <w:name w:val="Manual Heading 1"/>
    <w:basedOn w:val="Normal"/>
    <w:next w:val="Normal"/>
    <w:rsid w:val="00B36114"/>
    <w:pPr>
      <w:keepNext/>
      <w:tabs>
        <w:tab w:val="left" w:pos="850"/>
      </w:tabs>
      <w:spacing w:before="360" w:after="120"/>
      <w:ind w:left="850" w:hanging="850"/>
      <w:outlineLvl w:val="0"/>
    </w:pPr>
    <w:rPr>
      <w:rFonts w:eastAsia="SimSun"/>
      <w:b/>
      <w:bCs/>
      <w:smallCaps/>
      <w:snapToGrid/>
    </w:rPr>
  </w:style>
  <w:style w:type="paragraph" w:styleId="BalloonText">
    <w:name w:val="Balloon Text"/>
    <w:basedOn w:val="Normal"/>
    <w:link w:val="BalloonTextChar"/>
    <w:rsid w:val="005A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4AE"/>
    <w:rPr>
      <w:rFonts w:ascii="Tahoma" w:hAnsi="Tahoma" w:cs="Tahoma"/>
      <w:snapToGrid w:val="0"/>
      <w:sz w:val="16"/>
      <w:szCs w:val="16"/>
      <w:lang w:val="cs-CZ" w:eastAsia="cs-CZ"/>
    </w:rPr>
  </w:style>
  <w:style w:type="paragraph" w:styleId="ListParagraph">
    <w:name w:val="List Paragraph"/>
    <w:basedOn w:val="Normal"/>
    <w:uiPriority w:val="34"/>
    <w:qFormat/>
    <w:rsid w:val="00C8315D"/>
    <w:pPr>
      <w:ind w:left="720"/>
    </w:pPr>
  </w:style>
  <w:style w:type="paragraph" w:styleId="Header">
    <w:name w:val="header"/>
    <w:basedOn w:val="Normal"/>
    <w:link w:val="HeaderChar"/>
    <w:rsid w:val="00E72F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72FAA"/>
    <w:rPr>
      <w:snapToGrid w:val="0"/>
      <w:sz w:val="24"/>
      <w:szCs w:val="24"/>
      <w:lang w:val="cs-CZ" w:eastAsia="cs-CZ"/>
    </w:rPr>
  </w:style>
  <w:style w:type="table" w:styleId="TableGrid">
    <w:name w:val="Table Grid"/>
    <w:basedOn w:val="TableNormal"/>
    <w:rsid w:val="00A9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A24090"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sid w:val="00A24090"/>
    <w:pPr>
      <w:spacing w:before="120" w:after="120"/>
    </w:pPr>
    <w:rPr>
      <w:snapToGrid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4090"/>
    <w:rPr>
      <w:lang w:eastAsia="cs-CZ"/>
    </w:rPr>
  </w:style>
  <w:style w:type="character" w:customStyle="1" w:styleId="Heading1Char">
    <w:name w:val="Heading 1 Char"/>
    <w:link w:val="Heading1"/>
    <w:locked/>
    <w:rsid w:val="0017095C"/>
    <w:rPr>
      <w:rFonts w:ascii="Arial" w:hAnsi="Arial" w:cs="Arial"/>
      <w:b/>
      <w:bCs/>
      <w:snapToGrid w:val="0"/>
      <w:kern w:val="32"/>
      <w:sz w:val="32"/>
      <w:szCs w:val="32"/>
      <w:lang w:eastAsia="cs-CZ"/>
    </w:rPr>
  </w:style>
  <w:style w:type="paragraph" w:customStyle="1" w:styleId="Text1">
    <w:name w:val="Text 1"/>
    <w:basedOn w:val="Normal"/>
    <w:rsid w:val="002A5789"/>
    <w:pPr>
      <w:spacing w:before="120" w:after="120"/>
      <w:ind w:left="850"/>
    </w:pPr>
    <w:rPr>
      <w:snapToGrid/>
    </w:rPr>
  </w:style>
  <w:style w:type="character" w:customStyle="1" w:styleId="FootnoteTextChar1">
    <w:name w:val="Footnote Text Char1"/>
    <w:aliases w:val="Char Car Char,Char Char,Footnote Text Char Char,Footnote Text Char Char Char Char,Footnote Text Char1 Char Char,GM_Fußnotentext Char,Hyperlink1 Char,Note de bas de page Car Char,Schriftart: 10 pt Char,Schriftart: 8 pt Char"/>
    <w:link w:val="FootnoteText"/>
    <w:uiPriority w:val="99"/>
    <w:locked/>
    <w:rsid w:val="005E2A8A"/>
    <w:rPr>
      <w:snapToGrid w:val="0"/>
      <w:lang w:eastAsia="cs-CZ"/>
    </w:rPr>
  </w:style>
  <w:style w:type="paragraph" w:customStyle="1" w:styleId="Bullet2">
    <w:name w:val="Bullet 2"/>
    <w:basedOn w:val="Normal"/>
    <w:rsid w:val="005E2A8A"/>
    <w:pPr>
      <w:numPr>
        <w:numId w:val="1"/>
      </w:numPr>
      <w:spacing w:before="120" w:after="120"/>
    </w:pPr>
    <w:rPr>
      <w:snapToGrid/>
    </w:rPr>
  </w:style>
  <w:style w:type="paragraph" w:customStyle="1" w:styleId="Bullet4">
    <w:name w:val="Bullet 4"/>
    <w:basedOn w:val="Normal"/>
    <w:rsid w:val="005E2A8A"/>
    <w:pPr>
      <w:numPr>
        <w:numId w:val="2"/>
      </w:numPr>
      <w:spacing w:before="120" w:after="120"/>
    </w:pPr>
    <w:rPr>
      <w:snapToGrid/>
    </w:rPr>
  </w:style>
  <w:style w:type="paragraph" w:styleId="CommentSubject">
    <w:name w:val="annotation subject"/>
    <w:basedOn w:val="CommentText"/>
    <w:next w:val="CommentText"/>
    <w:link w:val="CommentSubjectChar"/>
    <w:rsid w:val="009238BD"/>
    <w:pPr>
      <w:spacing w:before="0" w:after="0"/>
    </w:pPr>
    <w:rPr>
      <w:b/>
      <w:bCs/>
      <w:snapToGrid w:val="0"/>
    </w:rPr>
  </w:style>
  <w:style w:type="character" w:customStyle="1" w:styleId="CommentSubjectChar">
    <w:name w:val="Comment Subject Char"/>
    <w:link w:val="CommentSubject"/>
    <w:rsid w:val="009238BD"/>
    <w:rPr>
      <w:b/>
      <w:bCs/>
      <w:snapToGrid w:val="0"/>
      <w:lang w:eastAsia="cs-CZ"/>
    </w:rPr>
  </w:style>
  <w:style w:type="paragraph" w:customStyle="1" w:styleId="Bodytext2">
    <w:name w:val="Body text (2)"/>
    <w:basedOn w:val="Normal"/>
    <w:link w:val="Bodytext20"/>
    <w:rsid w:val="00BF4842"/>
    <w:pPr>
      <w:widowControl w:val="0"/>
      <w:shd w:val="clear" w:color="auto" w:fill="FFFFFF"/>
      <w:spacing w:after="200" w:line="222" w:lineRule="exact"/>
      <w:ind w:hanging="440"/>
      <w:jc w:val="left"/>
    </w:pPr>
    <w:rPr>
      <w:rFonts w:ascii="Cambria" w:eastAsia="SimSun" w:hAnsi="Cambria"/>
      <w:snapToGrid/>
      <w:spacing w:val="10"/>
      <w:sz w:val="20"/>
      <w:szCs w:val="20"/>
    </w:rPr>
  </w:style>
  <w:style w:type="character" w:customStyle="1" w:styleId="Bodytext20">
    <w:name w:val="Body text (2)_"/>
    <w:link w:val="Bodytext2"/>
    <w:rsid w:val="00BF4842"/>
    <w:rPr>
      <w:rFonts w:ascii="Cambria" w:eastAsia="SimSun" w:hAnsi="Cambria"/>
      <w:spacing w:val="10"/>
      <w:shd w:val="clear" w:color="auto" w:fill="FFFFFF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7F8D-0ED4-4E3F-9CCD-64D1E0E1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Culture Programme (2007 – 2013)</vt:lpstr>
    </vt:vector>
  </TitlesOfParts>
  <Company>CDT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Programme (2007 – 2013)</dc:title>
  <dc:creator>CDT</dc:creator>
  <cp:lastModifiedBy>CDT</cp:lastModifiedBy>
  <cp:revision>5</cp:revision>
  <cp:lastPrinted>2017-09-14T07:11:00Z</cp:lastPrinted>
  <dcterms:created xsi:type="dcterms:W3CDTF">2017-09-14T15:02:00Z</dcterms:created>
  <dcterms:modified xsi:type="dcterms:W3CDTF">2017-09-25T13:09:00Z</dcterms:modified>
</cp:coreProperties>
</file>