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553" w:rsidRDefault="00746553" w:rsidP="00746553">
      <w:pPr>
        <w:jc w:val="right"/>
        <w:rPr>
          <w:rFonts w:ascii="AlfaPID" w:hAnsi="AlfaPID"/>
          <w:sz w:val="56"/>
          <w:szCs w:val="56"/>
        </w:rPr>
      </w:pPr>
      <w:bookmarkStart w:id="0" w:name="_GoBack"/>
      <w:bookmarkEnd w:id="0"/>
      <w:r w:rsidRPr="00DB089F">
        <w:rPr>
          <w:rFonts w:ascii="AlfaPID" w:hAnsi="AlfaPID"/>
          <w:sz w:val="56"/>
          <w:szCs w:val="56"/>
        </w:rPr>
        <w:t>*</w:t>
      </w:r>
      <w:bookmarkStart w:id="1" w:name="ssl_pid"/>
      <w:r w:rsidR="00022C50">
        <w:rPr>
          <w:rFonts w:ascii="AlfaPID" w:hAnsi="AlfaPID"/>
          <w:sz w:val="56"/>
          <w:szCs w:val="56"/>
        </w:rPr>
        <w:fldChar w:fldCharType="begin">
          <w:ffData>
            <w:name w:val="ssl_pid"/>
            <w:enabled/>
            <w:calcOnExit w:val="0"/>
            <w:textInput>
              <w:default w:val="MKCRX00BQULY"/>
            </w:textInput>
          </w:ffData>
        </w:fldChar>
      </w:r>
      <w:r w:rsidR="00022C50">
        <w:rPr>
          <w:rFonts w:ascii="AlfaPID" w:hAnsi="AlfaPID"/>
          <w:sz w:val="56"/>
          <w:szCs w:val="56"/>
        </w:rPr>
        <w:instrText xml:space="preserve"> FORMTEXT </w:instrText>
      </w:r>
      <w:r w:rsidR="00022C50">
        <w:rPr>
          <w:rFonts w:ascii="AlfaPID" w:hAnsi="AlfaPID"/>
          <w:sz w:val="56"/>
          <w:szCs w:val="56"/>
        </w:rPr>
      </w:r>
      <w:r w:rsidR="00022C50">
        <w:rPr>
          <w:rFonts w:ascii="AlfaPID" w:hAnsi="AlfaPID"/>
          <w:sz w:val="56"/>
          <w:szCs w:val="56"/>
        </w:rPr>
        <w:fldChar w:fldCharType="separate"/>
      </w:r>
      <w:r w:rsidR="0088169A">
        <w:rPr>
          <w:rFonts w:ascii="AlfaPID" w:hAnsi="AlfaPID"/>
          <w:sz w:val="56"/>
          <w:szCs w:val="56"/>
        </w:rPr>
        <w:t>MKCRX00BQULY</w:t>
      </w:r>
      <w:r w:rsidR="00022C50">
        <w:rPr>
          <w:rFonts w:ascii="AlfaPID" w:hAnsi="AlfaPID"/>
          <w:sz w:val="56"/>
          <w:szCs w:val="56"/>
        </w:rPr>
        <w:fldChar w:fldCharType="end"/>
      </w:r>
      <w:bookmarkEnd w:id="1"/>
      <w:r w:rsidRPr="00DB089F">
        <w:rPr>
          <w:rFonts w:ascii="AlfaPID" w:hAnsi="AlfaPID"/>
          <w:sz w:val="56"/>
          <w:szCs w:val="56"/>
        </w:rPr>
        <w:t>*</w:t>
      </w:r>
    </w:p>
    <w:p w:rsidR="00746553" w:rsidRDefault="00746553" w:rsidP="00746553"/>
    <w:p w:rsidR="00746553" w:rsidRDefault="00746553" w:rsidP="00746553"/>
    <w:p w:rsidR="00746553" w:rsidRPr="00BE72E7" w:rsidRDefault="00746553" w:rsidP="00746553"/>
    <w:p w:rsidR="00090D83" w:rsidRPr="00EF3086" w:rsidRDefault="00090D83" w:rsidP="00090D83">
      <w:pPr>
        <w:pStyle w:val="Nzev"/>
      </w:pPr>
      <w:r w:rsidRPr="00EF3086">
        <w:t xml:space="preserve">MINISTERSTVO KULTURY </w:t>
      </w:r>
    </w:p>
    <w:p w:rsidR="00090D83" w:rsidRPr="00ED2B7D" w:rsidRDefault="007A28C6" w:rsidP="00090D83">
      <w:pPr>
        <w:jc w:val="center"/>
        <w:rPr>
          <w:b/>
        </w:rPr>
      </w:pPr>
      <w:r>
        <w:rPr>
          <w:b/>
        </w:rPr>
        <w:t>o</w:t>
      </w:r>
      <w:r w:rsidR="00090D83" w:rsidRPr="00ED2B7D">
        <w:rPr>
          <w:b/>
        </w:rPr>
        <w:t xml:space="preserve">dbor </w:t>
      </w:r>
      <w:r w:rsidR="00090D83">
        <w:rPr>
          <w:b/>
        </w:rPr>
        <w:t>muzeí</w:t>
      </w:r>
    </w:p>
    <w:p w:rsidR="00090D83" w:rsidRPr="00EF3086" w:rsidRDefault="00090D83" w:rsidP="00090D83">
      <w:pPr>
        <w:jc w:val="center"/>
        <w:rPr>
          <w:b/>
        </w:rPr>
      </w:pPr>
    </w:p>
    <w:p w:rsidR="00090D83" w:rsidRDefault="00090D83" w:rsidP="00090D83">
      <w:pPr>
        <w:jc w:val="center"/>
      </w:pPr>
      <w:r>
        <w:t>v</w:t>
      </w:r>
      <w:r w:rsidRPr="00EF3086">
        <w:t>yhlašuje</w:t>
      </w:r>
      <w:r>
        <w:t xml:space="preserve"> v souladu s </w:t>
      </w:r>
      <w:r w:rsidR="007A28C6">
        <w:t>U</w:t>
      </w:r>
      <w:r>
        <w:t xml:space="preserve">snesením vlády </w:t>
      </w:r>
      <w:r w:rsidR="007A28C6">
        <w:t xml:space="preserve">České republiky </w:t>
      </w:r>
      <w:r>
        <w:t>ze dne 10. dubna 2017 č. 276, k</w:t>
      </w:r>
      <w:r w:rsidR="007A28C6">
        <w:t> </w:t>
      </w:r>
      <w:r>
        <w:t xml:space="preserve">návrhu na zřízení výběrového dotačního řízení Akviziční fond a dle Příkazu ministra kultury č. 15/2017 </w:t>
      </w:r>
      <w:r w:rsidRPr="00EF3086">
        <w:t xml:space="preserve"> </w:t>
      </w:r>
    </w:p>
    <w:p w:rsidR="00090D83" w:rsidRDefault="00090D83" w:rsidP="00090D83">
      <w:pPr>
        <w:jc w:val="center"/>
      </w:pPr>
    </w:p>
    <w:p w:rsidR="00090D83" w:rsidRPr="00EF3086" w:rsidRDefault="00090D83" w:rsidP="00090D83">
      <w:pPr>
        <w:jc w:val="center"/>
      </w:pPr>
      <w:r w:rsidRPr="00EF3086">
        <w:t>Výběrové dotační řízení „Akviziční fond“ pro rok 201</w:t>
      </w:r>
      <w:r>
        <w:t>8.</w:t>
      </w:r>
    </w:p>
    <w:p w:rsidR="00090D83" w:rsidRPr="00EF3086" w:rsidRDefault="00090D83" w:rsidP="00090D83">
      <w:pPr>
        <w:jc w:val="both"/>
        <w:rPr>
          <w:sz w:val="28"/>
          <w:szCs w:val="28"/>
        </w:rPr>
      </w:pPr>
    </w:p>
    <w:p w:rsidR="00090D83" w:rsidRDefault="00090D83" w:rsidP="00090D83">
      <w:pPr>
        <w:jc w:val="both"/>
        <w:rPr>
          <w:sz w:val="28"/>
          <w:szCs w:val="28"/>
        </w:rPr>
      </w:pPr>
    </w:p>
    <w:p w:rsidR="00090D83" w:rsidRPr="00951809" w:rsidRDefault="00090D83" w:rsidP="00090D83">
      <w:pPr>
        <w:jc w:val="center"/>
        <w:rPr>
          <w:b/>
        </w:rPr>
      </w:pPr>
      <w:r w:rsidRPr="00951809">
        <w:rPr>
          <w:b/>
        </w:rPr>
        <w:t>I.</w:t>
      </w:r>
    </w:p>
    <w:p w:rsidR="00090D83" w:rsidRPr="00EF3086" w:rsidRDefault="00090D83" w:rsidP="00090D83">
      <w:pPr>
        <w:jc w:val="both"/>
        <w:rPr>
          <w:sz w:val="28"/>
          <w:szCs w:val="28"/>
        </w:rPr>
      </w:pPr>
    </w:p>
    <w:p w:rsidR="00090D83" w:rsidRPr="006A4872" w:rsidRDefault="00090D83" w:rsidP="00090D83">
      <w:pPr>
        <w:ind w:firstLine="708"/>
        <w:jc w:val="both"/>
      </w:pPr>
      <w:r w:rsidRPr="006A4872">
        <w:t>Předmětem Výběrového dotačního řízení „Akviziční fond“ (dále jen „Akviziční fond“</w:t>
      </w:r>
      <w:r>
        <w:t xml:space="preserve"> nebo také „výběrové dotační řízení“</w:t>
      </w:r>
      <w:r w:rsidRPr="006A4872">
        <w:t>) je poskytování finančních prostředků formou dotace muzeím, galeriím a případně dalším subjektům hospodařícím se sbírkami muzejní povahy podle zákona č. 122/2000 Sb., o ochraně sbírek muzejní povahy a o změně některých dalších zákonů, ve znění pozdějších předpisů (dále jen „zákon č. 122/2000 Sb.“).</w:t>
      </w:r>
    </w:p>
    <w:p w:rsidR="00090D83" w:rsidRPr="006A4872" w:rsidRDefault="00090D83" w:rsidP="00090D83">
      <w:pPr>
        <w:jc w:val="both"/>
        <w:rPr>
          <w:b/>
        </w:rPr>
      </w:pPr>
    </w:p>
    <w:p w:rsidR="00090D83" w:rsidRDefault="00090D83" w:rsidP="00090D83">
      <w:pPr>
        <w:pStyle w:val="Zkladntext3"/>
        <w:jc w:val="center"/>
        <w:rPr>
          <w:szCs w:val="24"/>
        </w:rPr>
      </w:pPr>
      <w:r>
        <w:rPr>
          <w:szCs w:val="24"/>
        </w:rPr>
        <w:t>II.</w:t>
      </w:r>
    </w:p>
    <w:p w:rsidR="00090D83" w:rsidRPr="006A4872" w:rsidRDefault="00090D83" w:rsidP="00090D83">
      <w:pPr>
        <w:pStyle w:val="Zkladntext3"/>
        <w:jc w:val="center"/>
        <w:rPr>
          <w:szCs w:val="24"/>
        </w:rPr>
      </w:pPr>
      <w:r>
        <w:rPr>
          <w:szCs w:val="24"/>
        </w:rPr>
        <w:t>Oblast podpory</w:t>
      </w:r>
    </w:p>
    <w:p w:rsidR="00090D83" w:rsidRPr="006A4872" w:rsidRDefault="00090D83" w:rsidP="00090D83">
      <w:pPr>
        <w:pStyle w:val="Zkladntext3"/>
        <w:rPr>
          <w:szCs w:val="24"/>
        </w:rPr>
      </w:pPr>
    </w:p>
    <w:p w:rsidR="00090D83" w:rsidRPr="006A4872" w:rsidRDefault="00090D83" w:rsidP="00090D83">
      <w:pPr>
        <w:ind w:firstLine="284"/>
        <w:jc w:val="both"/>
      </w:pPr>
      <w:r w:rsidRPr="006A4872">
        <w:t>Finanční prostředky z „Akvizičního fondu“ mohou být použity pouze na nákup díla mladšího 50 let, které je:</w:t>
      </w:r>
    </w:p>
    <w:p w:rsidR="00090D83" w:rsidRPr="006A4872" w:rsidRDefault="00090D83" w:rsidP="00090D83">
      <w:pPr>
        <w:pStyle w:val="Odstavecseseznamem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A4872">
        <w:rPr>
          <w:rFonts w:ascii="Times New Roman" w:hAnsi="Times New Roman"/>
          <w:sz w:val="24"/>
          <w:szCs w:val="24"/>
        </w:rPr>
        <w:t xml:space="preserve">volným uměním, respektive originální autorskou dokumentací díla volného umění včetně původní dokumentace instalací a autorských záznamů performancí,   </w:t>
      </w:r>
    </w:p>
    <w:p w:rsidR="00090D83" w:rsidRPr="006A4872" w:rsidRDefault="00090D83" w:rsidP="00090D83">
      <w:pPr>
        <w:pStyle w:val="Odstavecseseznamem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A4872">
        <w:rPr>
          <w:rFonts w:ascii="Times New Roman" w:hAnsi="Times New Roman"/>
          <w:sz w:val="24"/>
          <w:szCs w:val="24"/>
        </w:rPr>
        <w:t>dokumentací architektonického návrhu,</w:t>
      </w:r>
    </w:p>
    <w:p w:rsidR="00090D83" w:rsidRPr="006A4872" w:rsidRDefault="00090D83" w:rsidP="00090D83">
      <w:pPr>
        <w:pStyle w:val="Odstavecseseznamem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A4872">
        <w:rPr>
          <w:rFonts w:ascii="Times New Roman" w:hAnsi="Times New Roman"/>
          <w:sz w:val="24"/>
          <w:szCs w:val="24"/>
        </w:rPr>
        <w:t>užitým uměním,</w:t>
      </w:r>
    </w:p>
    <w:p w:rsidR="00090D83" w:rsidRPr="006A4872" w:rsidRDefault="00090D83" w:rsidP="00090D83">
      <w:pPr>
        <w:pStyle w:val="Odstavecseseznamem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A4872">
        <w:rPr>
          <w:rFonts w:ascii="Times New Roman" w:hAnsi="Times New Roman"/>
          <w:sz w:val="24"/>
          <w:szCs w:val="24"/>
        </w:rPr>
        <w:t>průmyslovým designem, respektive jeho originální dokumentací,</w:t>
      </w:r>
    </w:p>
    <w:p w:rsidR="00090D83" w:rsidRPr="006A4872" w:rsidRDefault="00090D83" w:rsidP="00090D83">
      <w:pPr>
        <w:pStyle w:val="Odstavecseseznamem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A4872">
        <w:rPr>
          <w:rFonts w:ascii="Times New Roman" w:hAnsi="Times New Roman"/>
          <w:sz w:val="24"/>
          <w:szCs w:val="24"/>
        </w:rPr>
        <w:t>originálem autorské fotografie (autorské zvětšeniny), původním negativem nebo fotografií (autorskou zvětšeninou) s původním negativem,</w:t>
      </w:r>
    </w:p>
    <w:p w:rsidR="00090D83" w:rsidRPr="006A4872" w:rsidRDefault="00090D83" w:rsidP="00090D83">
      <w:pPr>
        <w:pStyle w:val="Odstavecseseznamem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A4872">
        <w:rPr>
          <w:rFonts w:ascii="Times New Roman" w:hAnsi="Times New Roman"/>
          <w:iCs/>
          <w:sz w:val="24"/>
          <w:szCs w:val="24"/>
        </w:rPr>
        <w:t>autorským zprostředkováním pohyblivého obrazu rozprostřeného v čase, zaznamenaným na analogovém či digitálním nosiči (dílem videoartu),</w:t>
      </w:r>
    </w:p>
    <w:p w:rsidR="00090D83" w:rsidRPr="006A4872" w:rsidRDefault="00090D83" w:rsidP="00090D83">
      <w:pPr>
        <w:pStyle w:val="Odstavecseseznamem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A4872">
        <w:rPr>
          <w:rFonts w:ascii="Times New Roman" w:hAnsi="Times New Roman"/>
          <w:iCs/>
          <w:sz w:val="24"/>
          <w:szCs w:val="24"/>
        </w:rPr>
        <w:t>autorskou knihou.</w:t>
      </w:r>
    </w:p>
    <w:p w:rsidR="00090D83" w:rsidRDefault="00090D83" w:rsidP="00090D83">
      <w:pPr>
        <w:ind w:left="284"/>
        <w:jc w:val="both"/>
        <w:rPr>
          <w:color w:val="000000"/>
        </w:rPr>
      </w:pPr>
    </w:p>
    <w:p w:rsidR="00090D83" w:rsidRDefault="00090D83" w:rsidP="00090D83">
      <w:pPr>
        <w:ind w:firstLine="284"/>
        <w:jc w:val="both"/>
        <w:rPr>
          <w:color w:val="000000"/>
        </w:rPr>
      </w:pPr>
      <w:r>
        <w:rPr>
          <w:color w:val="000000"/>
        </w:rPr>
        <w:t>Finanční prostředky z Akvizičního fondu jsou poskytovány pouze na nákup díla, kter</w:t>
      </w:r>
      <w:r w:rsidRPr="00AE4B26">
        <w:rPr>
          <w:color w:val="000000"/>
        </w:rPr>
        <w:t>é bylo vystaveno na autorské, skupinové nebo generační výstavě, publikováno v odborném tisku, souborné publikaci nebo výstavním katalogu, případně odborně zhodnoceno na platformě umožňující dálkový přístup. Dílo</w:t>
      </w:r>
      <w:r>
        <w:rPr>
          <w:color w:val="000000"/>
        </w:rPr>
        <w:t xml:space="preserve"> </w:t>
      </w:r>
      <w:r w:rsidRPr="00AE4B26">
        <w:rPr>
          <w:color w:val="000000"/>
        </w:rPr>
        <w:t xml:space="preserve">by </w:t>
      </w:r>
      <w:r>
        <w:rPr>
          <w:color w:val="000000"/>
        </w:rPr>
        <w:t xml:space="preserve">dále </w:t>
      </w:r>
      <w:r w:rsidRPr="00AE4B26">
        <w:rPr>
          <w:color w:val="000000"/>
        </w:rPr>
        <w:t xml:space="preserve">mělo patřit mezi vývojově důležitá díla svého tvůrce, odpovídat nejpřísnějším požadavkům na uměleckou kvalitu a reprezentovat podstatný vývojový trend v současném umění. </w:t>
      </w:r>
    </w:p>
    <w:p w:rsidR="00090D83" w:rsidRDefault="00090D83" w:rsidP="00090D83">
      <w:pPr>
        <w:ind w:firstLine="284"/>
        <w:jc w:val="both"/>
        <w:rPr>
          <w:color w:val="000000"/>
        </w:rPr>
      </w:pPr>
    </w:p>
    <w:p w:rsidR="00090D83" w:rsidRDefault="00090D83" w:rsidP="00090D83">
      <w:pPr>
        <w:ind w:firstLine="284"/>
        <w:jc w:val="both"/>
      </w:pPr>
      <w:r w:rsidRPr="006A4872">
        <w:t>Finanční prostředky z „Akvizičního fondu“ nemohou být použity na nákup takového díla, které současně splňuje podmínky pro práv</w:t>
      </w:r>
      <w:r>
        <w:t>o</w:t>
      </w:r>
      <w:r w:rsidRPr="006A4872">
        <w:t xml:space="preserve"> státu na přednostní koupi kulturní památky</w:t>
      </w:r>
      <w:r>
        <w:t xml:space="preserve"> dle §13 zákona č. 20/1987 Sb., o státní památkové péči, ve znění pozdějších předpisů.</w:t>
      </w:r>
    </w:p>
    <w:p w:rsidR="00090D83" w:rsidRDefault="00090D83" w:rsidP="00090D83">
      <w:pPr>
        <w:jc w:val="both"/>
      </w:pPr>
    </w:p>
    <w:p w:rsidR="00090D83" w:rsidRDefault="00090D83" w:rsidP="00090D83">
      <w:pPr>
        <w:jc w:val="center"/>
        <w:rPr>
          <w:b/>
        </w:rPr>
      </w:pPr>
      <w:r>
        <w:rPr>
          <w:b/>
        </w:rPr>
        <w:t>III.</w:t>
      </w:r>
    </w:p>
    <w:p w:rsidR="00090D83" w:rsidRPr="006A4872" w:rsidRDefault="00090D83" w:rsidP="00090D83">
      <w:pPr>
        <w:jc w:val="center"/>
        <w:rPr>
          <w:b/>
        </w:rPr>
      </w:pPr>
      <w:r w:rsidRPr="006A4872">
        <w:rPr>
          <w:b/>
        </w:rPr>
        <w:t>Určení žadatelé</w:t>
      </w:r>
    </w:p>
    <w:p w:rsidR="00090D83" w:rsidRPr="006A4872" w:rsidRDefault="00090D83" w:rsidP="00090D83">
      <w:pPr>
        <w:jc w:val="both"/>
        <w:rPr>
          <w:b/>
        </w:rPr>
      </w:pPr>
      <w:r w:rsidRPr="006A4872">
        <w:rPr>
          <w:b/>
        </w:rPr>
        <w:t xml:space="preserve"> </w:t>
      </w:r>
    </w:p>
    <w:p w:rsidR="00090D83" w:rsidRPr="006A4872" w:rsidRDefault="00090D83" w:rsidP="00090D83">
      <w:pPr>
        <w:shd w:val="clear" w:color="auto" w:fill="FFFFFF"/>
        <w:tabs>
          <w:tab w:val="left" w:pos="691"/>
        </w:tabs>
        <w:spacing w:before="120" w:line="276" w:lineRule="auto"/>
        <w:jc w:val="both"/>
      </w:pPr>
      <w:r w:rsidRPr="006A4872">
        <w:rPr>
          <w:bCs/>
          <w:color w:val="000000"/>
          <w:spacing w:val="4"/>
        </w:rPr>
        <w:tab/>
      </w:r>
      <w:r w:rsidRPr="006A4872">
        <w:t xml:space="preserve"> </w:t>
      </w:r>
      <w:r>
        <w:t>Žadatelem o poskytnutí finančních prostředků z Akvizičního fondu (dále jen „žadatel“) může být pouze subjekt hospodařící se sbírkou/sbírkami muzejní povahy, u kterého Ministerstvo kultury neplní funkci zřizovatele, a který má v Centrální evidenci sbírek (</w:t>
      </w:r>
      <w:r w:rsidRPr="006A4872">
        <w:t>dále jen „CES“),</w:t>
      </w:r>
      <w:r w:rsidRPr="00735B82">
        <w:t xml:space="preserve"> </w:t>
      </w:r>
      <w:r w:rsidRPr="006A4872">
        <w:t>zapsán</w:t>
      </w:r>
      <w:r>
        <w:t>u/y</w:t>
      </w:r>
      <w:r w:rsidRPr="006A4872">
        <w:t xml:space="preserve"> sbírk</w:t>
      </w:r>
      <w:r>
        <w:t>u/y (</w:t>
      </w:r>
      <w:r w:rsidRPr="006A4872">
        <w:t>podsbírk</w:t>
      </w:r>
      <w:r>
        <w:t>u/</w:t>
      </w:r>
      <w:r w:rsidRPr="006A4872">
        <w:t>y</w:t>
      </w:r>
      <w:r>
        <w:t>)</w:t>
      </w:r>
      <w:r w:rsidRPr="006A4872">
        <w:t xml:space="preserve"> těchto oborů:</w:t>
      </w:r>
    </w:p>
    <w:p w:rsidR="00090D83" w:rsidRPr="006A4872" w:rsidRDefault="00090D83" w:rsidP="00090D83">
      <w:pPr>
        <w:pStyle w:val="Odstavecseseznamem"/>
        <w:numPr>
          <w:ilvl w:val="0"/>
          <w:numId w:val="2"/>
        </w:numPr>
        <w:shd w:val="clear" w:color="auto" w:fill="FFFFFF"/>
        <w:tabs>
          <w:tab w:val="left" w:pos="69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6A4872">
        <w:rPr>
          <w:rFonts w:ascii="Times New Roman" w:hAnsi="Times New Roman"/>
          <w:sz w:val="24"/>
          <w:szCs w:val="24"/>
        </w:rPr>
        <w:t>výtvarného umění a architektury</w:t>
      </w:r>
    </w:p>
    <w:p w:rsidR="00090D83" w:rsidRPr="006A4872" w:rsidRDefault="00090D83" w:rsidP="00090D83">
      <w:pPr>
        <w:pStyle w:val="Odstavecseseznamem"/>
        <w:numPr>
          <w:ilvl w:val="0"/>
          <w:numId w:val="2"/>
        </w:numPr>
        <w:shd w:val="clear" w:color="auto" w:fill="FFFFFF"/>
        <w:tabs>
          <w:tab w:val="left" w:pos="69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6A4872">
        <w:rPr>
          <w:rFonts w:ascii="Times New Roman" w:hAnsi="Times New Roman"/>
          <w:sz w:val="24"/>
          <w:szCs w:val="24"/>
        </w:rPr>
        <w:t>uměleckého řemesla</w:t>
      </w:r>
    </w:p>
    <w:p w:rsidR="00090D83" w:rsidRPr="00F918D9" w:rsidRDefault="00090D83" w:rsidP="00090D83">
      <w:pPr>
        <w:pStyle w:val="Odstavecseseznamem"/>
        <w:numPr>
          <w:ilvl w:val="0"/>
          <w:numId w:val="2"/>
        </w:numPr>
        <w:shd w:val="clear" w:color="auto" w:fill="FFFFFF"/>
        <w:tabs>
          <w:tab w:val="left" w:pos="69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F918D9">
        <w:rPr>
          <w:rFonts w:ascii="Times New Roman" w:hAnsi="Times New Roman"/>
          <w:sz w:val="24"/>
          <w:szCs w:val="24"/>
        </w:rPr>
        <w:t>uměleckoprůmyslové práce</w:t>
      </w:r>
    </w:p>
    <w:p w:rsidR="00090D83" w:rsidRPr="006A4872" w:rsidRDefault="00090D83" w:rsidP="00090D83">
      <w:pPr>
        <w:pStyle w:val="Odstavecseseznamem"/>
        <w:numPr>
          <w:ilvl w:val="0"/>
          <w:numId w:val="2"/>
        </w:numPr>
        <w:shd w:val="clear" w:color="auto" w:fill="FFFFFF"/>
        <w:tabs>
          <w:tab w:val="left" w:pos="69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6A4872">
        <w:rPr>
          <w:rFonts w:ascii="Times New Roman" w:hAnsi="Times New Roman"/>
          <w:sz w:val="24"/>
          <w:szCs w:val="24"/>
        </w:rPr>
        <w:t>fotografie, filmy, videozáznamy a jiná obrazová nebo zvuková média</w:t>
      </w:r>
    </w:p>
    <w:p w:rsidR="00090D83" w:rsidRPr="006A4872" w:rsidRDefault="00090D83" w:rsidP="00090D83">
      <w:pPr>
        <w:pStyle w:val="Odstavecseseznamem"/>
        <w:numPr>
          <w:ilvl w:val="0"/>
          <w:numId w:val="2"/>
        </w:numPr>
        <w:shd w:val="clear" w:color="auto" w:fill="FFFFFF"/>
        <w:tabs>
          <w:tab w:val="left" w:pos="691"/>
        </w:tabs>
        <w:spacing w:before="120"/>
        <w:jc w:val="both"/>
        <w:rPr>
          <w:rFonts w:ascii="Times New Roman" w:hAnsi="Times New Roman"/>
          <w:bCs/>
          <w:color w:val="000000"/>
          <w:spacing w:val="4"/>
          <w:sz w:val="24"/>
          <w:szCs w:val="24"/>
        </w:rPr>
      </w:pPr>
      <w:r w:rsidRPr="006A4872">
        <w:rPr>
          <w:rFonts w:ascii="Times New Roman" w:hAnsi="Times New Roman"/>
          <w:sz w:val="24"/>
          <w:szCs w:val="24"/>
        </w:rPr>
        <w:t>a další.</w:t>
      </w:r>
      <w:r w:rsidRPr="006A4872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 </w:t>
      </w:r>
    </w:p>
    <w:p w:rsidR="00090D83" w:rsidRDefault="00090D83" w:rsidP="00090D83">
      <w:pPr>
        <w:pStyle w:val="Zkladntext"/>
        <w:ind w:firstLine="360"/>
        <w:rPr>
          <w:u w:val="single"/>
        </w:rPr>
      </w:pPr>
    </w:p>
    <w:p w:rsidR="00090D83" w:rsidRPr="00951809" w:rsidRDefault="00090D83" w:rsidP="00090D83">
      <w:pPr>
        <w:jc w:val="center"/>
        <w:rPr>
          <w:b/>
        </w:rPr>
      </w:pPr>
      <w:r w:rsidRPr="00951809">
        <w:rPr>
          <w:b/>
        </w:rPr>
        <w:t>IV.</w:t>
      </w:r>
    </w:p>
    <w:p w:rsidR="00090D83" w:rsidRPr="00951809" w:rsidRDefault="00090D83" w:rsidP="00090D83">
      <w:pPr>
        <w:jc w:val="center"/>
        <w:rPr>
          <w:b/>
        </w:rPr>
      </w:pPr>
      <w:r w:rsidRPr="00951809">
        <w:rPr>
          <w:b/>
        </w:rPr>
        <w:t>Výběrové dotační řízení</w:t>
      </w:r>
    </w:p>
    <w:p w:rsidR="00090D83" w:rsidRDefault="00090D83" w:rsidP="00090D83">
      <w:pPr>
        <w:jc w:val="center"/>
        <w:rPr>
          <w:u w:val="single"/>
        </w:rPr>
      </w:pPr>
    </w:p>
    <w:p w:rsidR="00090D83" w:rsidRPr="005C6BA3" w:rsidRDefault="00090D83" w:rsidP="00090D83">
      <w:pPr>
        <w:ind w:firstLine="708"/>
        <w:jc w:val="both"/>
      </w:pPr>
      <w:r w:rsidRPr="002924E5">
        <w:t xml:space="preserve">Žádosti o poskytnutí finančních prostředků z „Akvizičního fondu“ (dále jen „žádost“) se </w:t>
      </w:r>
      <w:r w:rsidRPr="00951809">
        <w:t>zasílají v tištěné podobě na předepsaných formulářích</w:t>
      </w:r>
      <w:r w:rsidR="00F22BF2">
        <w:rPr>
          <w:rStyle w:val="Znakapoznpodarou"/>
        </w:rPr>
        <w:footnoteReference w:id="1"/>
      </w:r>
      <w:r w:rsidRPr="00951809">
        <w:t xml:space="preserve"> a se všemi povinnými přílohami, a to doložitelným způsobem na adresu Ministerstva kultury, odbor muzeí, Maltézské náměstí 1, 118 11 Praha 1 – Malá Strana</w:t>
      </w:r>
    </w:p>
    <w:p w:rsidR="00090D83" w:rsidRPr="00336F2E" w:rsidRDefault="00090D83" w:rsidP="00090D83">
      <w:pPr>
        <w:jc w:val="center"/>
        <w:rPr>
          <w:u w:val="single"/>
        </w:rPr>
      </w:pPr>
    </w:p>
    <w:p w:rsidR="00090D83" w:rsidRPr="00336F2E" w:rsidRDefault="00090D83" w:rsidP="00090D83">
      <w:pPr>
        <w:jc w:val="center"/>
        <w:rPr>
          <w:u w:val="single"/>
        </w:rPr>
      </w:pPr>
      <w:r w:rsidRPr="00336F2E">
        <w:rPr>
          <w:u w:val="single"/>
        </w:rPr>
        <w:t>nejpozději do 31. 8. 201</w:t>
      </w:r>
      <w:r>
        <w:rPr>
          <w:u w:val="single"/>
        </w:rPr>
        <w:t>8</w:t>
      </w:r>
      <w:r w:rsidRPr="00336F2E">
        <w:rPr>
          <w:u w:val="single"/>
        </w:rPr>
        <w:t xml:space="preserve"> (datum poštovního razítka). </w:t>
      </w:r>
    </w:p>
    <w:p w:rsidR="00090D83" w:rsidRPr="00336F2E" w:rsidRDefault="00090D83" w:rsidP="00090D83">
      <w:pPr>
        <w:jc w:val="center"/>
        <w:rPr>
          <w:u w:val="single"/>
        </w:rPr>
      </w:pPr>
    </w:p>
    <w:p w:rsidR="00090D83" w:rsidRDefault="00090D83" w:rsidP="00090D83">
      <w:pPr>
        <w:jc w:val="center"/>
        <w:rPr>
          <w:u w:val="single"/>
        </w:rPr>
      </w:pPr>
      <w:r w:rsidRPr="00336F2E">
        <w:rPr>
          <w:u w:val="single"/>
        </w:rPr>
        <w:t>Žádosti zaslané po termínu, stejně jako neúplné či chybně zpracované žádosti nebudou do</w:t>
      </w:r>
      <w:r>
        <w:rPr>
          <w:u w:val="single"/>
        </w:rPr>
        <w:t> </w:t>
      </w:r>
      <w:r w:rsidRPr="00336F2E">
        <w:rPr>
          <w:u w:val="single"/>
        </w:rPr>
        <w:t>výběrového dotačního řízení zařazeny.</w:t>
      </w:r>
    </w:p>
    <w:p w:rsidR="00090D83" w:rsidRPr="00F918D9" w:rsidRDefault="00090D83" w:rsidP="00090D83">
      <w:pPr>
        <w:jc w:val="center"/>
        <w:rPr>
          <w:u w:val="single"/>
        </w:rPr>
      </w:pPr>
    </w:p>
    <w:p w:rsidR="00090D83" w:rsidRDefault="00090D83" w:rsidP="00090D83">
      <w:pPr>
        <w:ind w:firstLine="284"/>
        <w:jc w:val="both"/>
      </w:pPr>
      <w:r w:rsidRPr="00F918D9">
        <w:t xml:space="preserve">Do výběrového řízení bude přijata </w:t>
      </w:r>
      <w:r>
        <w:t xml:space="preserve">pouze </w:t>
      </w:r>
      <w:r w:rsidRPr="00F918D9">
        <w:t>žádost</w:t>
      </w:r>
      <w:r>
        <w:t xml:space="preserve"> o poskytnutí finančních prostředků na nákup</w:t>
      </w:r>
      <w:r w:rsidRPr="00F918D9">
        <w:t>, kter</w:t>
      </w:r>
      <w:r>
        <w:t>ý</w:t>
      </w:r>
      <w:r w:rsidRPr="00F918D9">
        <w:t xml:space="preserve"> bude plně realizován v roce 201</w:t>
      </w:r>
      <w:r>
        <w:t>8</w:t>
      </w:r>
      <w:r w:rsidRPr="00F918D9">
        <w:t xml:space="preserve">. </w:t>
      </w:r>
    </w:p>
    <w:p w:rsidR="00090D83" w:rsidRPr="00F918D9" w:rsidRDefault="00090D83" w:rsidP="00090D83">
      <w:pPr>
        <w:ind w:firstLine="284"/>
        <w:jc w:val="both"/>
      </w:pPr>
    </w:p>
    <w:p w:rsidR="00090D83" w:rsidRDefault="00090D83" w:rsidP="00090D83">
      <w:pPr>
        <w:ind w:firstLine="284"/>
        <w:jc w:val="both"/>
      </w:pPr>
      <w:r w:rsidRPr="002924E5">
        <w:t>Do výběrového řízení bude přijat</w:t>
      </w:r>
      <w:r w:rsidRPr="00951809">
        <w:t>a žádost, jejíž předmět nákupu je výše specifikován.</w:t>
      </w:r>
    </w:p>
    <w:p w:rsidR="00090D83" w:rsidRPr="002924E5" w:rsidRDefault="00090D83" w:rsidP="00090D83">
      <w:pPr>
        <w:ind w:firstLine="284"/>
        <w:jc w:val="both"/>
      </w:pPr>
    </w:p>
    <w:p w:rsidR="00090D83" w:rsidRDefault="00090D83" w:rsidP="00090D83">
      <w:pPr>
        <w:ind w:firstLine="284"/>
        <w:jc w:val="both"/>
      </w:pPr>
      <w:r w:rsidRPr="00951809">
        <w:t xml:space="preserve">Žádost musí být zaslána v jednom vyhotovení, a to včetně povinných příloh: </w:t>
      </w:r>
    </w:p>
    <w:p w:rsidR="00090D83" w:rsidRPr="002924E5" w:rsidRDefault="00090D83" w:rsidP="00090D83">
      <w:pPr>
        <w:ind w:firstLine="284"/>
        <w:jc w:val="both"/>
      </w:pPr>
    </w:p>
    <w:p w:rsidR="00090D83" w:rsidRPr="006A4872" w:rsidRDefault="00090D83" w:rsidP="00090D83">
      <w:pPr>
        <w:tabs>
          <w:tab w:val="num" w:pos="720"/>
        </w:tabs>
        <w:spacing w:line="20" w:lineRule="atLeast"/>
        <w:ind w:left="284" w:hanging="284"/>
        <w:jc w:val="both"/>
      </w:pPr>
      <w:r w:rsidRPr="006A4872">
        <w:t xml:space="preserve">Příloha č. 1 – </w:t>
      </w:r>
      <w:r w:rsidRPr="006A4872">
        <w:rPr>
          <w:i/>
        </w:rPr>
        <w:t>Doklad osvědčující právní existenci žadatele</w:t>
      </w:r>
      <w:r w:rsidRPr="006A4872">
        <w:t xml:space="preserve"> </w:t>
      </w:r>
    </w:p>
    <w:p w:rsidR="00090D83" w:rsidRPr="006A4872" w:rsidRDefault="00090D83" w:rsidP="00090D83">
      <w:pPr>
        <w:spacing w:line="20" w:lineRule="atLeast"/>
        <w:ind w:left="284" w:hanging="284"/>
        <w:jc w:val="both"/>
      </w:pPr>
      <w:r w:rsidRPr="006A4872">
        <w:t xml:space="preserve">Příloha č. 2 – </w:t>
      </w:r>
      <w:r w:rsidRPr="006A4872">
        <w:rPr>
          <w:i/>
        </w:rPr>
        <w:t>Kopie dokladu o ustanovení statutárního orgánu</w:t>
      </w:r>
      <w:r w:rsidRPr="006A4872">
        <w:t xml:space="preserve"> </w:t>
      </w:r>
    </w:p>
    <w:p w:rsidR="00090D83" w:rsidRPr="006A4872" w:rsidRDefault="00090D83" w:rsidP="00090D83">
      <w:pPr>
        <w:tabs>
          <w:tab w:val="num" w:pos="720"/>
        </w:tabs>
        <w:spacing w:line="20" w:lineRule="atLeast"/>
        <w:ind w:left="284" w:hanging="284"/>
        <w:jc w:val="both"/>
        <w:rPr>
          <w:i/>
        </w:rPr>
      </w:pPr>
      <w:r w:rsidRPr="006A4872">
        <w:t xml:space="preserve">Příloha č. 3 – </w:t>
      </w:r>
      <w:r w:rsidRPr="006A4872">
        <w:rPr>
          <w:i/>
        </w:rPr>
        <w:t>Doklad o zřízení bankovního účtu</w:t>
      </w:r>
      <w:r w:rsidRPr="006A4872">
        <w:rPr>
          <w:i/>
          <w:vertAlign w:val="superscript"/>
        </w:rPr>
        <w:t xml:space="preserve"> </w:t>
      </w:r>
      <w:r w:rsidRPr="006A4872">
        <w:rPr>
          <w:i/>
        </w:rPr>
        <w:t xml:space="preserve"> </w:t>
      </w:r>
    </w:p>
    <w:p w:rsidR="00090D83" w:rsidRPr="006A4872" w:rsidRDefault="00090D83" w:rsidP="00090D83">
      <w:pPr>
        <w:tabs>
          <w:tab w:val="num" w:pos="720"/>
        </w:tabs>
        <w:spacing w:line="20" w:lineRule="atLeast"/>
        <w:ind w:left="284" w:hanging="284"/>
        <w:jc w:val="both"/>
      </w:pPr>
      <w:r w:rsidRPr="006A4872">
        <w:t>Příloha č.</w:t>
      </w:r>
      <w:r>
        <w:t xml:space="preserve"> </w:t>
      </w:r>
      <w:r w:rsidRPr="006A4872">
        <w:t xml:space="preserve">4 – </w:t>
      </w:r>
      <w:r w:rsidRPr="006A4872">
        <w:rPr>
          <w:i/>
        </w:rPr>
        <w:t>Čestné prohlášení</w:t>
      </w:r>
      <w:r w:rsidRPr="006A4872">
        <w:t xml:space="preserve"> o vypořádání závazků ke státu, včetně sociálního </w:t>
      </w:r>
      <w:r w:rsidRPr="006A4872">
        <w:br/>
        <w:t>a zdravotního pojištění (tiskopis přiložený k žádosti)</w:t>
      </w:r>
    </w:p>
    <w:p w:rsidR="00090D83" w:rsidRPr="006A4872" w:rsidRDefault="00090D83" w:rsidP="00090D83">
      <w:pPr>
        <w:tabs>
          <w:tab w:val="num" w:pos="720"/>
        </w:tabs>
        <w:spacing w:line="20" w:lineRule="atLeast"/>
        <w:ind w:left="284" w:hanging="284"/>
        <w:jc w:val="both"/>
      </w:pPr>
      <w:r w:rsidRPr="006A4872">
        <w:t xml:space="preserve">Příloha č. 5 – </w:t>
      </w:r>
      <w:r w:rsidRPr="006A4872">
        <w:rPr>
          <w:i/>
        </w:rPr>
        <w:t xml:space="preserve">Čestné prohlášení </w:t>
      </w:r>
      <w:r w:rsidRPr="006A4872">
        <w:t xml:space="preserve">k podpoře de </w:t>
      </w:r>
      <w:proofErr w:type="spellStart"/>
      <w:r w:rsidRPr="006A4872">
        <w:t>minimis</w:t>
      </w:r>
      <w:proofErr w:type="spellEnd"/>
      <w:r w:rsidRPr="006A4872">
        <w:t xml:space="preserve"> (tiskopis přiložený k žádosti)</w:t>
      </w:r>
    </w:p>
    <w:p w:rsidR="00090D83" w:rsidRPr="006A4872" w:rsidRDefault="00090D83" w:rsidP="00090D83">
      <w:pPr>
        <w:tabs>
          <w:tab w:val="num" w:pos="720"/>
        </w:tabs>
        <w:spacing w:line="20" w:lineRule="atLeast"/>
        <w:ind w:left="284" w:hanging="284"/>
        <w:jc w:val="both"/>
      </w:pPr>
      <w:r w:rsidRPr="006A4872">
        <w:t xml:space="preserve">Příloha č. 6 – </w:t>
      </w:r>
      <w:r w:rsidRPr="006A4872">
        <w:rPr>
          <w:i/>
        </w:rPr>
        <w:t xml:space="preserve">Čestné prohlášení </w:t>
      </w:r>
      <w:r w:rsidRPr="006A4872">
        <w:t>dle Nařízení Komise (EU) č. 651/2014 ze dne 17. června 2014 (tiskopis přiložený k žádosti)</w:t>
      </w:r>
    </w:p>
    <w:p w:rsidR="00090D83" w:rsidRPr="006A4872" w:rsidRDefault="00090D83" w:rsidP="00090D83">
      <w:pPr>
        <w:shd w:val="clear" w:color="auto" w:fill="FFFFFF"/>
        <w:tabs>
          <w:tab w:val="left" w:pos="595"/>
        </w:tabs>
        <w:spacing w:before="5" w:line="20" w:lineRule="atLeast"/>
        <w:ind w:left="284" w:hanging="284"/>
        <w:jc w:val="both"/>
      </w:pPr>
      <w:r w:rsidRPr="006A4872">
        <w:t xml:space="preserve">Příloha č. 7 – </w:t>
      </w:r>
      <w:r w:rsidRPr="006A4872">
        <w:rPr>
          <w:i/>
        </w:rPr>
        <w:t xml:space="preserve">Doklad </w:t>
      </w:r>
      <w:r w:rsidRPr="006A4872">
        <w:t>o tom, že dílo bylo vystaveno na autorské, skupinové nebo generační výstavě</w:t>
      </w:r>
    </w:p>
    <w:p w:rsidR="00090D83" w:rsidRPr="006A4872" w:rsidRDefault="00090D83" w:rsidP="00090D83">
      <w:pPr>
        <w:shd w:val="clear" w:color="auto" w:fill="FFFFFF"/>
        <w:tabs>
          <w:tab w:val="left" w:pos="595"/>
        </w:tabs>
        <w:spacing w:before="5" w:line="20" w:lineRule="atLeast"/>
        <w:ind w:left="284" w:hanging="284"/>
        <w:jc w:val="both"/>
        <w:rPr>
          <w:i/>
        </w:rPr>
      </w:pPr>
      <w:r w:rsidRPr="006A4872">
        <w:lastRenderedPageBreak/>
        <w:t xml:space="preserve">Příloha č. 8 – </w:t>
      </w:r>
      <w:r w:rsidRPr="006A4872">
        <w:rPr>
          <w:i/>
        </w:rPr>
        <w:t>Doklad</w:t>
      </w:r>
      <w:r w:rsidRPr="006A4872">
        <w:t xml:space="preserve"> o tom, že dílo bylo publikováno v odborném tisku, souborné publikaci nebo výstavním katalogu, příp. odborně zhodnoceno na platformě umožňující dálkový přístup</w:t>
      </w:r>
    </w:p>
    <w:p w:rsidR="00090D83" w:rsidRPr="006A4872" w:rsidRDefault="00090D83" w:rsidP="00090D83">
      <w:pPr>
        <w:shd w:val="clear" w:color="auto" w:fill="FFFFFF"/>
        <w:tabs>
          <w:tab w:val="left" w:pos="595"/>
        </w:tabs>
        <w:spacing w:before="5" w:line="20" w:lineRule="atLeast"/>
        <w:ind w:left="284" w:hanging="284"/>
        <w:jc w:val="both"/>
        <w:rPr>
          <w:i/>
        </w:rPr>
      </w:pPr>
      <w:r w:rsidRPr="006A4872">
        <w:t xml:space="preserve">Příloha č. 9 </w:t>
      </w:r>
      <w:r w:rsidRPr="006A4872">
        <w:rPr>
          <w:i/>
        </w:rPr>
        <w:t xml:space="preserve">– Zdůvodnění žádosti </w:t>
      </w:r>
    </w:p>
    <w:p w:rsidR="00090D83" w:rsidRPr="006A4872" w:rsidRDefault="00090D83" w:rsidP="00090D83">
      <w:pPr>
        <w:shd w:val="clear" w:color="auto" w:fill="FFFFFF"/>
        <w:tabs>
          <w:tab w:val="left" w:pos="595"/>
        </w:tabs>
        <w:spacing w:before="5" w:line="20" w:lineRule="atLeast"/>
        <w:ind w:left="284" w:hanging="284"/>
        <w:jc w:val="both"/>
      </w:pPr>
      <w:r w:rsidRPr="006A4872">
        <w:rPr>
          <w:color w:val="000000"/>
        </w:rPr>
        <w:t>Příloha č. 10</w:t>
      </w:r>
      <w:r w:rsidRPr="006A4872">
        <w:rPr>
          <w:i/>
          <w:color w:val="000000"/>
        </w:rPr>
        <w:t xml:space="preserve"> – Strategie nebo koncepce sbírkotvorné činnosti organizace </w:t>
      </w:r>
    </w:p>
    <w:p w:rsidR="00090D83" w:rsidRPr="006A4872" w:rsidRDefault="00090D83" w:rsidP="00090D83">
      <w:pPr>
        <w:shd w:val="clear" w:color="auto" w:fill="FFFFFF"/>
        <w:tabs>
          <w:tab w:val="left" w:pos="595"/>
        </w:tabs>
        <w:spacing w:before="5" w:line="20" w:lineRule="atLeast"/>
        <w:ind w:left="284" w:hanging="284"/>
        <w:jc w:val="both"/>
        <w:rPr>
          <w:color w:val="000000"/>
        </w:rPr>
      </w:pPr>
      <w:r w:rsidRPr="006A4872">
        <w:rPr>
          <w:color w:val="000000"/>
        </w:rPr>
        <w:t xml:space="preserve">Příloha č. 11 – </w:t>
      </w:r>
      <w:r w:rsidRPr="006A4872">
        <w:rPr>
          <w:i/>
          <w:color w:val="000000"/>
        </w:rPr>
        <w:t>Slovní a fotografick</w:t>
      </w:r>
      <w:r>
        <w:rPr>
          <w:i/>
          <w:color w:val="000000"/>
        </w:rPr>
        <w:t>á</w:t>
      </w:r>
      <w:r w:rsidRPr="006A4872">
        <w:rPr>
          <w:i/>
          <w:color w:val="000000"/>
        </w:rPr>
        <w:t xml:space="preserve"> dokumentac</w:t>
      </w:r>
      <w:r>
        <w:rPr>
          <w:i/>
          <w:color w:val="000000"/>
        </w:rPr>
        <w:t>e</w:t>
      </w:r>
      <w:r w:rsidRPr="006A4872">
        <w:rPr>
          <w:color w:val="000000"/>
        </w:rPr>
        <w:t xml:space="preserve"> </w:t>
      </w:r>
    </w:p>
    <w:p w:rsidR="00090D83" w:rsidRPr="006A4872" w:rsidRDefault="00090D83" w:rsidP="00090D83">
      <w:pPr>
        <w:tabs>
          <w:tab w:val="num" w:pos="720"/>
        </w:tabs>
        <w:spacing w:line="20" w:lineRule="atLeast"/>
        <w:ind w:left="284" w:hanging="284"/>
        <w:jc w:val="both"/>
        <w:rPr>
          <w:i/>
          <w:color w:val="000000"/>
        </w:rPr>
      </w:pPr>
      <w:r w:rsidRPr="006A4872">
        <w:rPr>
          <w:color w:val="000000"/>
        </w:rPr>
        <w:t>Příloha č. 12</w:t>
      </w:r>
      <w:r w:rsidRPr="006A4872">
        <w:rPr>
          <w:i/>
          <w:color w:val="000000"/>
        </w:rPr>
        <w:t xml:space="preserve"> – Doklad prokazující pravost předmětu</w:t>
      </w:r>
    </w:p>
    <w:p w:rsidR="00090D83" w:rsidRPr="006A4872" w:rsidRDefault="00090D83" w:rsidP="00090D83">
      <w:pPr>
        <w:tabs>
          <w:tab w:val="num" w:pos="720"/>
        </w:tabs>
        <w:spacing w:line="20" w:lineRule="atLeast"/>
        <w:ind w:left="284" w:hanging="284"/>
        <w:jc w:val="both"/>
        <w:rPr>
          <w:color w:val="000000"/>
        </w:rPr>
      </w:pPr>
      <w:r w:rsidRPr="006A4872">
        <w:rPr>
          <w:color w:val="000000"/>
        </w:rPr>
        <w:t>Příloha č. 13</w:t>
      </w:r>
      <w:r w:rsidRPr="006A4872">
        <w:rPr>
          <w:i/>
          <w:color w:val="000000"/>
        </w:rPr>
        <w:t xml:space="preserve"> – Soudně znalecký posudek dle zvláštního právního předpisu</w:t>
      </w:r>
      <w:r w:rsidRPr="006A4872">
        <w:rPr>
          <w:color w:val="000000"/>
        </w:rPr>
        <w:t>, využitelný pro poskytnutí finančních prostředků ze státního rozpočtu v souladu s příslušnými právními předpisy</w:t>
      </w:r>
    </w:p>
    <w:p w:rsidR="00090D83" w:rsidRDefault="00090D83" w:rsidP="00090D83">
      <w:pPr>
        <w:tabs>
          <w:tab w:val="num" w:pos="720"/>
        </w:tabs>
        <w:spacing w:line="20" w:lineRule="atLeast"/>
        <w:ind w:left="284" w:hanging="284"/>
        <w:jc w:val="both"/>
        <w:rPr>
          <w:i/>
          <w:color w:val="000000"/>
        </w:rPr>
      </w:pPr>
      <w:r w:rsidRPr="006A4872">
        <w:rPr>
          <w:color w:val="000000"/>
        </w:rPr>
        <w:t>Příloha č. 14</w:t>
      </w:r>
      <w:r w:rsidRPr="006A4872">
        <w:rPr>
          <w:i/>
          <w:color w:val="000000"/>
        </w:rPr>
        <w:t xml:space="preserve"> – Protokol z jednání nákupní komise žádající organizace</w:t>
      </w:r>
      <w:r>
        <w:rPr>
          <w:i/>
          <w:color w:val="000000"/>
        </w:rPr>
        <w:t>.</w:t>
      </w:r>
    </w:p>
    <w:p w:rsidR="00090D83" w:rsidRDefault="00090D83" w:rsidP="00090D83">
      <w:pPr>
        <w:tabs>
          <w:tab w:val="num" w:pos="720"/>
        </w:tabs>
        <w:spacing w:line="20" w:lineRule="atLeast"/>
        <w:ind w:left="284" w:hanging="284"/>
        <w:jc w:val="both"/>
        <w:rPr>
          <w:i/>
          <w:color w:val="000000"/>
        </w:rPr>
      </w:pPr>
    </w:p>
    <w:p w:rsidR="00090D83" w:rsidRDefault="00090D83" w:rsidP="00090D83">
      <w:pPr>
        <w:ind w:firstLine="284"/>
        <w:jc w:val="both"/>
      </w:pPr>
      <w:r w:rsidRPr="00F918D9">
        <w:t xml:space="preserve">Finanční prostředky státního rozpočtu určené na zakoupení předmětu do sbírky muzejní povahy mohou být poskytnuty maximálně do výše </w:t>
      </w:r>
      <w:r w:rsidRPr="00F918D9">
        <w:rPr>
          <w:b/>
        </w:rPr>
        <w:t>70 %</w:t>
      </w:r>
      <w:r w:rsidRPr="00F918D9">
        <w:t>, přičemž tato částka po přepočtu na</w:t>
      </w:r>
      <w:r>
        <w:t> </w:t>
      </w:r>
      <w:r w:rsidRPr="00F918D9">
        <w:t>Euro podle směnného kurzu platného ke dni předložení žádosti Ministerstvu kultury nesmí přesáhnout 1 milion EUR</w:t>
      </w:r>
      <w:r>
        <w:t>.</w:t>
      </w:r>
    </w:p>
    <w:p w:rsidR="00090D83" w:rsidRDefault="00090D83" w:rsidP="00090D83">
      <w:pPr>
        <w:ind w:firstLine="284"/>
        <w:jc w:val="both"/>
      </w:pPr>
    </w:p>
    <w:p w:rsidR="00090D83" w:rsidRDefault="00090D83" w:rsidP="00090D83">
      <w:pPr>
        <w:pStyle w:val="Zkladntext"/>
        <w:ind w:firstLine="284"/>
        <w:rPr>
          <w:color w:val="000000"/>
        </w:rPr>
      </w:pPr>
      <w:r w:rsidRPr="00ED2B7D">
        <w:rPr>
          <w:color w:val="000000"/>
        </w:rPr>
        <w:t xml:space="preserve">Finanční prostředky budou poskytnuty na investiční a neinvestiční výdaje. </w:t>
      </w:r>
    </w:p>
    <w:p w:rsidR="00090D83" w:rsidRDefault="00090D83" w:rsidP="00090D83">
      <w:pPr>
        <w:pStyle w:val="Zkladntext"/>
        <w:ind w:firstLine="284"/>
        <w:rPr>
          <w:color w:val="000000"/>
        </w:rPr>
      </w:pPr>
    </w:p>
    <w:p w:rsidR="00090D83" w:rsidRDefault="00090D83" w:rsidP="00090D83">
      <w:pPr>
        <w:pStyle w:val="Zkladntext"/>
        <w:ind w:firstLine="284"/>
        <w:rPr>
          <w:szCs w:val="24"/>
        </w:rPr>
      </w:pPr>
      <w:r w:rsidRPr="006743E2">
        <w:rPr>
          <w:szCs w:val="24"/>
        </w:rPr>
        <w:t xml:space="preserve">Zájemci si mohou formulář žádosti o </w:t>
      </w:r>
      <w:r w:rsidR="00F22BF2">
        <w:rPr>
          <w:szCs w:val="24"/>
        </w:rPr>
        <w:t xml:space="preserve">dotaci </w:t>
      </w:r>
      <w:r w:rsidRPr="006743E2">
        <w:rPr>
          <w:szCs w:val="24"/>
        </w:rPr>
        <w:t xml:space="preserve">písemně vyžádat na Ministerstvu kultury, odbor </w:t>
      </w:r>
      <w:r>
        <w:rPr>
          <w:szCs w:val="24"/>
        </w:rPr>
        <w:t xml:space="preserve">muzeí, Maltézské náměstí </w:t>
      </w:r>
      <w:r w:rsidRPr="006743E2">
        <w:rPr>
          <w:szCs w:val="24"/>
        </w:rPr>
        <w:t>1, 118 11 Praha 1 – Malá Strana</w:t>
      </w:r>
      <w:r>
        <w:rPr>
          <w:szCs w:val="24"/>
        </w:rPr>
        <w:t>.</w:t>
      </w:r>
    </w:p>
    <w:p w:rsidR="00090D83" w:rsidRDefault="00090D83" w:rsidP="00090D83">
      <w:pPr>
        <w:pStyle w:val="Zkladntext"/>
        <w:ind w:firstLine="284"/>
        <w:rPr>
          <w:szCs w:val="24"/>
        </w:rPr>
      </w:pPr>
    </w:p>
    <w:p w:rsidR="00090D83" w:rsidRDefault="00090D83" w:rsidP="00090D83">
      <w:pPr>
        <w:jc w:val="both"/>
      </w:pPr>
      <w:r>
        <w:tab/>
      </w:r>
      <w:r w:rsidRPr="006A4872">
        <w:rPr>
          <w:u w:val="single"/>
        </w:rPr>
        <w:t>Formulář je možné získat prostř</w:t>
      </w:r>
      <w:r>
        <w:rPr>
          <w:u w:val="single"/>
        </w:rPr>
        <w:t>ednictvím internetu ze stránek Ministerstvo kultury</w:t>
      </w:r>
      <w:r w:rsidRPr="006A4872">
        <w:rPr>
          <w:u w:val="single"/>
        </w:rPr>
        <w:t>, adresa</w:t>
      </w:r>
      <w:r w:rsidRPr="006A4872">
        <w:t xml:space="preserve"> </w:t>
      </w:r>
      <w:hyperlink r:id="rId9" w:history="1">
        <w:r w:rsidR="007A28C6" w:rsidRPr="00A32BFE">
          <w:rPr>
            <w:rStyle w:val="Hypertextovodkaz"/>
          </w:rPr>
          <w:t>https://www.mkcr.cz/akvizicni-fond-1697.html</w:t>
        </w:r>
      </w:hyperlink>
      <w:r w:rsidRPr="006A4872">
        <w:t xml:space="preserve">  -   sekce </w:t>
      </w:r>
      <w:r w:rsidRPr="006A4872">
        <w:rPr>
          <w:i/>
        </w:rPr>
        <w:t>STRUKTURA/Kulturní dědictví/</w:t>
      </w:r>
      <w:r>
        <w:rPr>
          <w:i/>
        </w:rPr>
        <w:t>Sbírky a muzea</w:t>
      </w:r>
      <w:r w:rsidRPr="006A4872">
        <w:rPr>
          <w:i/>
        </w:rPr>
        <w:t>/Granty a dotace/Akviziční fond</w:t>
      </w:r>
      <w:r w:rsidRPr="006A4872">
        <w:t>.</w:t>
      </w:r>
    </w:p>
    <w:p w:rsidR="00090D83" w:rsidRDefault="00090D83" w:rsidP="00090D83">
      <w:pPr>
        <w:jc w:val="both"/>
        <w:rPr>
          <w:b/>
        </w:rPr>
      </w:pPr>
    </w:p>
    <w:p w:rsidR="00090D83" w:rsidRDefault="00090D83" w:rsidP="00090D83">
      <w:pPr>
        <w:pStyle w:val="Zkladntext"/>
        <w:ind w:firstLine="708"/>
        <w:rPr>
          <w:szCs w:val="24"/>
        </w:rPr>
      </w:pPr>
      <w:r>
        <w:rPr>
          <w:szCs w:val="24"/>
        </w:rPr>
        <w:t xml:space="preserve">Výběrové dotační řízení „Akviziční fond“ včetně způsobu přidělování dotací se řídí Příkazem ministra č. 15/2017 zveřejněném na </w:t>
      </w:r>
      <w:r w:rsidRPr="00692E75">
        <w:rPr>
          <w:szCs w:val="24"/>
        </w:rPr>
        <w:t xml:space="preserve">adrese </w:t>
      </w:r>
      <w:hyperlink r:id="rId10" w:history="1">
        <w:r w:rsidRPr="00951809">
          <w:rPr>
            <w:rStyle w:val="Hypertextovodkaz"/>
            <w:szCs w:val="24"/>
          </w:rPr>
          <w:t>https://www.mkcr.cz/akvizicni-fond-16</w:t>
        </w:r>
        <w:r w:rsidR="007A28C6">
          <w:rPr>
            <w:rStyle w:val="Hypertextovodkaz"/>
            <w:szCs w:val="24"/>
          </w:rPr>
          <w:t>97</w:t>
        </w:r>
        <w:r w:rsidRPr="00951809">
          <w:rPr>
            <w:rStyle w:val="Hypertextovodkaz"/>
            <w:szCs w:val="24"/>
          </w:rPr>
          <w:t>.html</w:t>
        </w:r>
      </w:hyperlink>
      <w:r w:rsidRPr="006A4872">
        <w:rPr>
          <w:szCs w:val="24"/>
        </w:rPr>
        <w:t xml:space="preserve">  -   sekce </w:t>
      </w:r>
      <w:r w:rsidRPr="006A4872">
        <w:rPr>
          <w:i/>
          <w:szCs w:val="24"/>
        </w:rPr>
        <w:t>STRUKTURA/Kulturní dědictví/</w:t>
      </w:r>
      <w:r>
        <w:rPr>
          <w:i/>
          <w:szCs w:val="24"/>
        </w:rPr>
        <w:t>Sbírky a muzea</w:t>
      </w:r>
      <w:r w:rsidRPr="006A4872">
        <w:rPr>
          <w:i/>
          <w:szCs w:val="24"/>
        </w:rPr>
        <w:t>/Granty a dotace/Akviziční fond</w:t>
      </w:r>
      <w:r w:rsidRPr="006A4872">
        <w:rPr>
          <w:szCs w:val="24"/>
        </w:rPr>
        <w:t>.</w:t>
      </w:r>
    </w:p>
    <w:p w:rsidR="00090D83" w:rsidRDefault="00090D83" w:rsidP="00090D83">
      <w:pPr>
        <w:pStyle w:val="Zkladntext"/>
        <w:ind w:firstLine="708"/>
        <w:rPr>
          <w:szCs w:val="24"/>
        </w:rPr>
      </w:pPr>
    </w:p>
    <w:p w:rsidR="00090D83" w:rsidRDefault="00090D83" w:rsidP="00090D83">
      <w:pPr>
        <w:pStyle w:val="Zkladntext"/>
        <w:ind w:firstLine="708"/>
        <w:rPr>
          <w:szCs w:val="24"/>
        </w:rPr>
      </w:pPr>
      <w:r w:rsidRPr="006A4872">
        <w:rPr>
          <w:szCs w:val="24"/>
        </w:rPr>
        <w:t xml:space="preserve">Zaslané žádosti Ministerstvo kultury žadatelům nevrací. </w:t>
      </w:r>
    </w:p>
    <w:p w:rsidR="00090D83" w:rsidRDefault="00090D83" w:rsidP="00090D83">
      <w:pPr>
        <w:pStyle w:val="Zkladntext"/>
        <w:ind w:firstLine="708"/>
        <w:rPr>
          <w:szCs w:val="24"/>
        </w:rPr>
      </w:pPr>
    </w:p>
    <w:p w:rsidR="00090D83" w:rsidRDefault="00090D83" w:rsidP="00090D83">
      <w:pPr>
        <w:pStyle w:val="Zkladntext"/>
        <w:ind w:firstLine="708"/>
        <w:rPr>
          <w:szCs w:val="24"/>
        </w:rPr>
      </w:pPr>
      <w:r>
        <w:rPr>
          <w:szCs w:val="24"/>
        </w:rPr>
        <w:t>Finanční prostředky budou přidělovány rozhodnutím, jehož součástí budou závazné podmínky jejich využití.</w:t>
      </w:r>
    </w:p>
    <w:p w:rsidR="00090D83" w:rsidRDefault="00090D83" w:rsidP="00090D83">
      <w:pPr>
        <w:pStyle w:val="Zkladntext"/>
        <w:rPr>
          <w:szCs w:val="24"/>
        </w:rPr>
      </w:pPr>
    </w:p>
    <w:p w:rsidR="00090D83" w:rsidRPr="00147574" w:rsidRDefault="00090D83" w:rsidP="00090D83">
      <w:pPr>
        <w:pStyle w:val="Zkladntext"/>
        <w:jc w:val="center"/>
        <w:rPr>
          <w:szCs w:val="24"/>
        </w:rPr>
      </w:pPr>
    </w:p>
    <w:p w:rsidR="00090D83" w:rsidRDefault="00090D83" w:rsidP="00090D83">
      <w:pPr>
        <w:pStyle w:val="Bezmezer"/>
        <w:tabs>
          <w:tab w:val="left" w:pos="737"/>
        </w:tabs>
        <w:spacing w:after="120"/>
        <w:ind w:left="737" w:hanging="737"/>
        <w:jc w:val="both"/>
      </w:pPr>
    </w:p>
    <w:p w:rsidR="00090D83" w:rsidRDefault="00090D83" w:rsidP="00090D83">
      <w:pPr>
        <w:pStyle w:val="Zkladntext"/>
        <w:jc w:val="center"/>
        <w:rPr>
          <w:szCs w:val="24"/>
        </w:rPr>
      </w:pPr>
    </w:p>
    <w:p w:rsidR="00090D83" w:rsidRPr="006A4872" w:rsidRDefault="00090D83" w:rsidP="00090D83">
      <w:pPr>
        <w:pStyle w:val="Zkladntext"/>
        <w:jc w:val="center"/>
        <w:rPr>
          <w:szCs w:val="24"/>
        </w:rPr>
      </w:pPr>
    </w:p>
    <w:p w:rsidR="00746553" w:rsidRDefault="00746553"/>
    <w:sectPr w:rsidR="00746553" w:rsidSect="00746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04A" w:rsidRDefault="00B0504A" w:rsidP="00F22BF2">
      <w:r>
        <w:separator/>
      </w:r>
    </w:p>
  </w:endnote>
  <w:endnote w:type="continuationSeparator" w:id="0">
    <w:p w:rsidR="00B0504A" w:rsidRDefault="00B0504A" w:rsidP="00F2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fa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04A" w:rsidRDefault="00B0504A" w:rsidP="00F22BF2">
      <w:r>
        <w:separator/>
      </w:r>
    </w:p>
  </w:footnote>
  <w:footnote w:type="continuationSeparator" w:id="0">
    <w:p w:rsidR="00B0504A" w:rsidRDefault="00B0504A" w:rsidP="00F22BF2">
      <w:r>
        <w:continuationSeparator/>
      </w:r>
    </w:p>
  </w:footnote>
  <w:footnote w:id="1">
    <w:p w:rsidR="00F22BF2" w:rsidRPr="000E28BF" w:rsidRDefault="00F22BF2">
      <w:pPr>
        <w:pStyle w:val="Textpoznpodarou"/>
        <w:rPr>
          <w:u w:val="single"/>
        </w:rPr>
      </w:pPr>
      <w:r>
        <w:rPr>
          <w:rStyle w:val="Znakapoznpodarou"/>
        </w:rPr>
        <w:footnoteRef/>
      </w:r>
      <w:r w:rsidR="00CD0DAF">
        <w:t xml:space="preserve"> Formulář se vztahuje na jedno nebo více děl </w:t>
      </w:r>
      <w:r w:rsidRPr="000E28BF">
        <w:rPr>
          <w:u w:val="single"/>
        </w:rPr>
        <w:t>téhož autora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0D07"/>
    <w:multiLevelType w:val="hybridMultilevel"/>
    <w:tmpl w:val="EE140E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6B0928"/>
    <w:multiLevelType w:val="hybridMultilevel"/>
    <w:tmpl w:val="DFECE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69A"/>
    <w:rsid w:val="00022C50"/>
    <w:rsid w:val="00090D83"/>
    <w:rsid w:val="000E28BF"/>
    <w:rsid w:val="00147AF9"/>
    <w:rsid w:val="00340BC0"/>
    <w:rsid w:val="00746553"/>
    <w:rsid w:val="007A28C6"/>
    <w:rsid w:val="0088169A"/>
    <w:rsid w:val="00B0504A"/>
    <w:rsid w:val="00CD0DAF"/>
    <w:rsid w:val="00F2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90D83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090D83"/>
    <w:rPr>
      <w:b/>
      <w:sz w:val="24"/>
    </w:rPr>
  </w:style>
  <w:style w:type="paragraph" w:styleId="Zkladntext">
    <w:name w:val="Body Text"/>
    <w:basedOn w:val="Normln"/>
    <w:link w:val="ZkladntextChar"/>
    <w:rsid w:val="00090D83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090D83"/>
    <w:rPr>
      <w:sz w:val="24"/>
    </w:rPr>
  </w:style>
  <w:style w:type="paragraph" w:styleId="Zkladntext3">
    <w:name w:val="Body Text 3"/>
    <w:basedOn w:val="Normln"/>
    <w:link w:val="Zkladntext3Char"/>
    <w:rsid w:val="00090D83"/>
    <w:pPr>
      <w:jc w:val="both"/>
    </w:pPr>
    <w:rPr>
      <w:b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090D83"/>
    <w:rPr>
      <w:b/>
      <w:sz w:val="24"/>
    </w:rPr>
  </w:style>
  <w:style w:type="character" w:styleId="Hypertextovodkaz">
    <w:name w:val="Hyperlink"/>
    <w:rsid w:val="00090D8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90D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090D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90D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0D83"/>
  </w:style>
  <w:style w:type="paragraph" w:styleId="Bezmezer">
    <w:name w:val="No Spacing"/>
    <w:uiPriority w:val="1"/>
    <w:qFormat/>
    <w:rsid w:val="00090D83"/>
    <w:rPr>
      <w:sz w:val="24"/>
      <w:szCs w:val="24"/>
    </w:rPr>
  </w:style>
  <w:style w:type="paragraph" w:styleId="Textbubliny">
    <w:name w:val="Balloon Text"/>
    <w:basedOn w:val="Normln"/>
    <w:link w:val="TextbublinyChar"/>
    <w:rsid w:val="00090D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90D83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F22BF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22BF2"/>
  </w:style>
  <w:style w:type="character" w:styleId="Znakapoznpodarou">
    <w:name w:val="footnote reference"/>
    <w:basedOn w:val="Standardnpsmoodstavce"/>
    <w:rsid w:val="00F22B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90D83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090D83"/>
    <w:rPr>
      <w:b/>
      <w:sz w:val="24"/>
    </w:rPr>
  </w:style>
  <w:style w:type="paragraph" w:styleId="Zkladntext">
    <w:name w:val="Body Text"/>
    <w:basedOn w:val="Normln"/>
    <w:link w:val="ZkladntextChar"/>
    <w:rsid w:val="00090D83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090D83"/>
    <w:rPr>
      <w:sz w:val="24"/>
    </w:rPr>
  </w:style>
  <w:style w:type="paragraph" w:styleId="Zkladntext3">
    <w:name w:val="Body Text 3"/>
    <w:basedOn w:val="Normln"/>
    <w:link w:val="Zkladntext3Char"/>
    <w:rsid w:val="00090D83"/>
    <w:pPr>
      <w:jc w:val="both"/>
    </w:pPr>
    <w:rPr>
      <w:b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090D83"/>
    <w:rPr>
      <w:b/>
      <w:sz w:val="24"/>
    </w:rPr>
  </w:style>
  <w:style w:type="character" w:styleId="Hypertextovodkaz">
    <w:name w:val="Hyperlink"/>
    <w:rsid w:val="00090D8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90D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090D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90D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0D83"/>
  </w:style>
  <w:style w:type="paragraph" w:styleId="Bezmezer">
    <w:name w:val="No Spacing"/>
    <w:uiPriority w:val="1"/>
    <w:qFormat/>
    <w:rsid w:val="00090D83"/>
    <w:rPr>
      <w:sz w:val="24"/>
      <w:szCs w:val="24"/>
    </w:rPr>
  </w:style>
  <w:style w:type="paragraph" w:styleId="Textbubliny">
    <w:name w:val="Balloon Text"/>
    <w:basedOn w:val="Normln"/>
    <w:link w:val="TextbublinyChar"/>
    <w:rsid w:val="00090D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90D83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F22BF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22BF2"/>
  </w:style>
  <w:style w:type="character" w:styleId="Znakapoznpodarou">
    <w:name w:val="footnote reference"/>
    <w:basedOn w:val="Standardnpsmoodstavce"/>
    <w:rsid w:val="00F22B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mkcr.cz/akvizicni-fond-1606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kcr.cz/akvizicni-fond-169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a.jandova\AppData\Local\Temp\E47E97C.do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A7CDE-9BA0-473C-957C-1D367B100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E47E97C</Template>
  <TotalTime>3</TotalTime>
  <Pages>3</Pages>
  <Words>872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*MKCRX000IDG1*</vt:lpstr>
    </vt:vector>
  </TitlesOfParts>
  <Company>ATC</Company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*MKCRX000IDG1*</dc:title>
  <dc:creator>Jandová Dana</dc:creator>
  <cp:lastModifiedBy>Administrator</cp:lastModifiedBy>
  <cp:revision>2</cp:revision>
  <cp:lastPrinted>2017-10-31T15:08:00Z</cp:lastPrinted>
  <dcterms:created xsi:type="dcterms:W3CDTF">2017-11-01T07:17:00Z</dcterms:created>
  <dcterms:modified xsi:type="dcterms:W3CDTF">2017-11-01T07:17:00Z</dcterms:modified>
</cp:coreProperties>
</file>