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E3" w:rsidRDefault="005C3483">
      <w:pPr>
        <w:pStyle w:val="Zhlav"/>
        <w:jc w:val="center"/>
      </w:pPr>
      <w:r>
        <w:rPr>
          <w:b/>
          <w:caps/>
        </w:rPr>
        <w:t>Pravidla pro příjem a hodnocení žádostí, poskytnutí a </w:t>
      </w:r>
      <w:r>
        <w:rPr>
          <w:b/>
          <w:caps/>
          <w:lang w:val="cs-CZ"/>
        </w:rPr>
        <w:t xml:space="preserve">finančního </w:t>
      </w:r>
      <w:r>
        <w:rPr>
          <w:b/>
          <w:caps/>
        </w:rPr>
        <w:t xml:space="preserve">vypořádání dotace z rozpočtu Karlovarského kraje </w:t>
      </w:r>
      <w:r>
        <w:rPr>
          <w:b/>
          <w:caps/>
          <w:lang w:val="cs-CZ"/>
        </w:rPr>
        <w:t xml:space="preserve">dotačního </w:t>
      </w:r>
      <w:r>
        <w:rPr>
          <w:b/>
          <w:caps/>
        </w:rPr>
        <w:t>programu</w:t>
      </w:r>
    </w:p>
    <w:p w:rsidR="002C61E3" w:rsidRDefault="005C3483">
      <w:pPr>
        <w:jc w:val="center"/>
        <w:rPr>
          <w:caps/>
        </w:rPr>
      </w:pPr>
      <w:r>
        <w:rPr>
          <w:caps/>
        </w:rPr>
        <w:t>na podporu ochrany životního prostředí a environmeNtální výchovy, vzdělávání a osvěty</w:t>
      </w:r>
    </w:p>
    <w:p w:rsidR="002C61E3" w:rsidRDefault="005C3483">
      <w:pPr>
        <w:jc w:val="center"/>
        <w:rPr>
          <w:caps/>
        </w:rPr>
      </w:pPr>
      <w:r>
        <w:rPr>
          <w:caps/>
        </w:rPr>
        <w:t>(dále jen „dotační program“)</w:t>
      </w:r>
    </w:p>
    <w:p w:rsidR="002C61E3" w:rsidRDefault="002C61E3">
      <w:pPr>
        <w:jc w:val="center"/>
        <w:rPr>
          <w:b/>
          <w:sz w:val="22"/>
          <w:szCs w:val="22"/>
        </w:rPr>
      </w:pPr>
    </w:p>
    <w:p w:rsidR="002C61E3" w:rsidRDefault="002C61E3">
      <w:pPr>
        <w:jc w:val="center"/>
        <w:rPr>
          <w:b/>
          <w:sz w:val="22"/>
          <w:szCs w:val="22"/>
        </w:rPr>
      </w:pPr>
    </w:p>
    <w:p w:rsidR="002C61E3" w:rsidRDefault="005C3483">
      <w:pPr>
        <w:pStyle w:val="Zhlav"/>
        <w:tabs>
          <w:tab w:val="left" w:pos="6946"/>
        </w:tabs>
        <w:jc w:val="both"/>
      </w:pPr>
      <w:r>
        <w:rPr>
          <w:b/>
          <w:bCs/>
          <w:sz w:val="22"/>
          <w:szCs w:val="22"/>
        </w:rPr>
        <w:t xml:space="preserve">Rada </w:t>
      </w:r>
      <w:r>
        <w:rPr>
          <w:b/>
          <w:bCs/>
          <w:sz w:val="22"/>
          <w:szCs w:val="22"/>
        </w:rPr>
        <w:t>Karlovarského kraje (dále jen „</w:t>
      </w:r>
      <w:r>
        <w:rPr>
          <w:b/>
          <w:bCs/>
          <w:iCs/>
          <w:sz w:val="22"/>
          <w:szCs w:val="22"/>
        </w:rPr>
        <w:t>rada kraje</w:t>
      </w:r>
      <w:r>
        <w:rPr>
          <w:b/>
          <w:bCs/>
          <w:sz w:val="22"/>
          <w:szCs w:val="22"/>
        </w:rPr>
        <w:t>“) na základě zmocnění Zastupitelstva Karlovarského kraje (dále jen „</w:t>
      </w:r>
      <w:r>
        <w:rPr>
          <w:b/>
          <w:bCs/>
          <w:iCs/>
          <w:sz w:val="22"/>
          <w:szCs w:val="22"/>
        </w:rPr>
        <w:t>zastupitelstvo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kraje</w:t>
      </w:r>
      <w:r>
        <w:rPr>
          <w:b/>
          <w:bCs/>
          <w:sz w:val="22"/>
          <w:szCs w:val="22"/>
        </w:rPr>
        <w:t xml:space="preserve">“), vyplývajícího z usnesení číslo ZK </w:t>
      </w:r>
      <w:r>
        <w:rPr>
          <w:b/>
          <w:bCs/>
          <w:sz w:val="22"/>
          <w:szCs w:val="22"/>
          <w:lang w:val="cs-CZ"/>
        </w:rPr>
        <w:t>371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  <w:lang w:val="cs-CZ"/>
        </w:rPr>
        <w:t>09</w:t>
      </w:r>
      <w:r>
        <w:rPr>
          <w:b/>
          <w:bCs/>
          <w:sz w:val="22"/>
          <w:szCs w:val="22"/>
        </w:rPr>
        <w:t xml:space="preserve">/17 ze dne </w:t>
      </w:r>
      <w:r>
        <w:rPr>
          <w:b/>
          <w:bCs/>
          <w:sz w:val="22"/>
          <w:szCs w:val="22"/>
          <w:lang w:val="cs-CZ"/>
        </w:rPr>
        <w:t>7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  <w:lang w:val="cs-CZ"/>
        </w:rPr>
        <w:t>9</w:t>
      </w:r>
      <w:r>
        <w:rPr>
          <w:b/>
          <w:bCs/>
          <w:sz w:val="22"/>
          <w:szCs w:val="22"/>
        </w:rPr>
        <w:t>. 2017 a v souladu s usnesením číslo RK 1587/</w:t>
      </w:r>
      <w:r>
        <w:rPr>
          <w:b/>
          <w:bCs/>
          <w:sz w:val="22"/>
          <w:szCs w:val="22"/>
          <w:lang w:val="cs-CZ"/>
        </w:rPr>
        <w:t>12</w:t>
      </w:r>
      <w:r>
        <w:rPr>
          <w:b/>
          <w:bCs/>
          <w:sz w:val="22"/>
          <w:szCs w:val="22"/>
        </w:rPr>
        <w:t xml:space="preserve">/17 ze dne 20. </w:t>
      </w:r>
      <w:r>
        <w:rPr>
          <w:b/>
          <w:bCs/>
          <w:sz w:val="22"/>
          <w:szCs w:val="22"/>
          <w:lang w:val="cs-CZ"/>
        </w:rPr>
        <w:t>12</w:t>
      </w:r>
      <w:r>
        <w:rPr>
          <w:b/>
          <w:bCs/>
          <w:sz w:val="22"/>
          <w:szCs w:val="22"/>
        </w:rPr>
        <w:t>. 2</w:t>
      </w:r>
      <w:r>
        <w:rPr>
          <w:b/>
          <w:bCs/>
          <w:sz w:val="22"/>
          <w:szCs w:val="22"/>
        </w:rPr>
        <w:t>017</w:t>
      </w:r>
      <w:r>
        <w:rPr>
          <w:b/>
          <w:bCs/>
          <w:sz w:val="22"/>
          <w:szCs w:val="22"/>
          <w:lang w:val="cs-CZ"/>
        </w:rPr>
        <w:t xml:space="preserve"> přijala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cs-CZ"/>
        </w:rPr>
        <w:t>tato pravidla pro příjem a hodnocení žádostí, poskytnutí a finančního vypořádání dotace z rozpočtu Karlovarského kraje v rámci dotačního programu (dále jen “pravidla“).</w:t>
      </w:r>
    </w:p>
    <w:p w:rsidR="002C61E3" w:rsidRDefault="002C61E3">
      <w:pPr>
        <w:tabs>
          <w:tab w:val="left" w:pos="6946"/>
        </w:tabs>
        <w:jc w:val="center"/>
        <w:rPr>
          <w:b/>
          <w:sz w:val="22"/>
          <w:szCs w:val="22"/>
        </w:rPr>
      </w:pPr>
    </w:p>
    <w:p w:rsidR="002C61E3" w:rsidRDefault="005C3483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:rsidR="002C61E3" w:rsidRDefault="005C3483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Příjem žádostí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Okruh způsobilých žadatelů o dotaci z dotačního pro</w:t>
      </w:r>
      <w:r>
        <w:rPr>
          <w:sz w:val="22"/>
          <w:szCs w:val="22"/>
        </w:rPr>
        <w:t>gramu (dále jen „žadatel“) je uveden ve vyhlášení dotačního programu.</w:t>
      </w:r>
    </w:p>
    <w:p w:rsidR="002C61E3" w:rsidRDefault="002C61E3">
      <w:pPr>
        <w:ind w:left="360"/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1"/>
        </w:numPr>
        <w:jc w:val="both"/>
      </w:pPr>
      <w:r>
        <w:rPr>
          <w:sz w:val="22"/>
          <w:szCs w:val="22"/>
        </w:rPr>
        <w:t>Žadatel musí vyplnit a odeslat elektronickou žádost (elektronické podání žádosti), jejíž vzor je uveden v příloze vyhlášení dotačního programu, prostřednictvím dotačního portálu Karlova</w:t>
      </w:r>
      <w:r>
        <w:rPr>
          <w:sz w:val="22"/>
          <w:szCs w:val="22"/>
        </w:rPr>
        <w:t xml:space="preserve">rského kraje </w:t>
      </w:r>
      <w:hyperlink r:id="rId7">
        <w:r>
          <w:rPr>
            <w:rStyle w:val="Internetovodkaz"/>
            <w:sz w:val="22"/>
            <w:szCs w:val="22"/>
          </w:rPr>
          <w:t>https://dotace.kr-karlovarsky.cz/gordic/ginis/app/RAP05/</w:t>
        </w:r>
      </w:hyperlink>
      <w:r>
        <w:rPr>
          <w:sz w:val="22"/>
          <w:szCs w:val="22"/>
        </w:rPr>
        <w:t>. Lhůta pro podání žádosti je uvedena ve vyhlášení dotačního programu.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Vytištěnou žádost z dotačního portálu v</w:t>
      </w:r>
      <w:r>
        <w:rPr>
          <w:sz w:val="22"/>
          <w:szCs w:val="22"/>
        </w:rPr>
        <w:t> listinné podobě, opatřenou vlastnoručním podpisem žadatele, musí žadatel následně po elektronickém podání žádosti doručit ve lhůtě uvedené ve vyhlášení dotačního programu na podatelnu Karlovarského kraje na adrese:</w:t>
      </w:r>
    </w:p>
    <w:p w:rsidR="002C61E3" w:rsidRDefault="005C3483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Karlovarský kraj, Závodní 353/88, 360 06</w:t>
      </w:r>
      <w:r>
        <w:rPr>
          <w:b/>
          <w:sz w:val="22"/>
          <w:szCs w:val="22"/>
        </w:rPr>
        <w:t xml:space="preserve"> Karlovy Vary</w:t>
      </w:r>
      <w:r>
        <w:rPr>
          <w:sz w:val="22"/>
          <w:szCs w:val="22"/>
        </w:rPr>
        <w:t>,</w:t>
      </w:r>
    </w:p>
    <w:p w:rsidR="002C61E3" w:rsidRDefault="005C348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to osobně nebo prostřednictvím doručovací služby. Pro určení doby podání listinné žádosti žadatelem je rozhodující datum doručení žádosti na podatelnu Karlovarského kraje (nikoliv datum odeslání).</w:t>
      </w:r>
    </w:p>
    <w:p w:rsidR="002C61E3" w:rsidRDefault="002C61E3">
      <w:pPr>
        <w:ind w:left="360"/>
        <w:rPr>
          <w:sz w:val="22"/>
          <w:szCs w:val="22"/>
        </w:rPr>
      </w:pPr>
    </w:p>
    <w:p w:rsidR="002C61E3" w:rsidRDefault="005C348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Povinnými přílohami k žádosti jsou pro ob</w:t>
      </w:r>
      <w:r>
        <w:rPr>
          <w:sz w:val="22"/>
          <w:szCs w:val="22"/>
        </w:rPr>
        <w:t>last:</w:t>
      </w:r>
    </w:p>
    <w:p w:rsidR="002C61E3" w:rsidRDefault="005C3483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 OCHRANA PŘÍRODY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rozpočet projektu,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prostá kopie výpisu z bankovního účtu (možno se začerněnými nebo přelepenými finančními údaji) podepsaná statutárním zástupcem žadatele (žadatelem v případě fyzických osob). Z dokladu musí být patrné:</w:t>
      </w:r>
    </w:p>
    <w:p w:rsidR="002C61E3" w:rsidRDefault="005C3483">
      <w:pPr>
        <w:pStyle w:val="Odstavecseseznamem"/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>
        <w:rPr>
          <w:sz w:val="22"/>
          <w:szCs w:val="22"/>
        </w:rPr>
        <w:t>bankovního účtu (na který</w:t>
      </w:r>
      <w:r>
        <w:rPr>
          <w:sz w:val="22"/>
          <w:szCs w:val="22"/>
        </w:rPr>
        <w:t xml:space="preserve"> budou v případě poskytnutí dotace zaslány peněžní prostředky),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majitel bankovního účtu,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 o souladu stavby nebo zařízení se zvláštními předpisy, například se stavebním zákonem, lázeňským zákonem (u projektů technických úprav </w:t>
      </w:r>
      <w:r>
        <w:rPr>
          <w:sz w:val="22"/>
          <w:szCs w:val="22"/>
        </w:rPr>
        <w:t>v krajině pomocí přírodě šetrných technologií), jsou-li vyžadovány,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výpis z katastru nemovitostí a souhlas vlastníků dotčených pozemků, přiměřeně žádosti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pokud to charakter projektu vyžaduje,</w:t>
      </w:r>
    </w:p>
    <w:p w:rsidR="002C61E3" w:rsidRDefault="005C3483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podrobný popis realizované aktivity není-li uveden v žádosti o d</w:t>
      </w:r>
      <w:r>
        <w:rPr>
          <w:sz w:val="22"/>
          <w:szCs w:val="22"/>
        </w:rPr>
        <w:t>otaci (harmonogram prací, program aktivity vč. obsahové náplně, apod.) – přiměřeně žádosti.</w:t>
      </w:r>
    </w:p>
    <w:p w:rsidR="002C61E3" w:rsidRDefault="005C3483">
      <w:pPr>
        <w:spacing w:after="200" w:line="276" w:lineRule="auto"/>
        <w:rPr>
          <w:sz w:val="22"/>
          <w:szCs w:val="22"/>
        </w:rPr>
      </w:pPr>
      <w:r>
        <w:br w:type="page"/>
      </w:r>
    </w:p>
    <w:p w:rsidR="002C61E3" w:rsidRDefault="005C3483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B) ENVIRONMENTÁLNÍ VÝCHOVA, VZDĚLÁVÁNÍ A OSVĚTA (EVVO) </w:t>
      </w:r>
    </w:p>
    <w:p w:rsidR="002C61E3" w:rsidRDefault="005C3483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rozpočet projektu,</w:t>
      </w:r>
    </w:p>
    <w:p w:rsidR="002C61E3" w:rsidRDefault="005C3483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prostá kopie výpisu z bankovního účtu (možno se začerněnými nebo přelepenými finančními</w:t>
      </w:r>
      <w:r>
        <w:rPr>
          <w:sz w:val="22"/>
          <w:szCs w:val="22"/>
        </w:rPr>
        <w:t xml:space="preserve"> údaji) podepsaná statutárním zástupcem žadatele (žadatelem v případě fyzických osob). Z dokladu musí být patrné:</w:t>
      </w:r>
    </w:p>
    <w:p w:rsidR="002C61E3" w:rsidRDefault="005C3483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č. bankovního účtu (na který</w:t>
      </w:r>
      <w:r>
        <w:rPr>
          <w:sz w:val="22"/>
          <w:szCs w:val="22"/>
        </w:rPr>
        <w:t xml:space="preserve"> budou v případě poskytnutí dotace zaslány peněžní prostředky),</w:t>
      </w:r>
    </w:p>
    <w:p w:rsidR="002C61E3" w:rsidRDefault="005C3483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majitel bankovního účtu,</w:t>
      </w:r>
    </w:p>
    <w:p w:rsidR="002C61E3" w:rsidRDefault="005C3483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podrobný popis realizovan</w:t>
      </w:r>
      <w:r>
        <w:rPr>
          <w:sz w:val="22"/>
          <w:szCs w:val="22"/>
        </w:rPr>
        <w:t>é aktivity není-li uveden v žádosti o dotaci (harmonogram prací, program aktivity vč. obsahové náplně, apod.) – přiměřeně žádosti.</w:t>
      </w:r>
    </w:p>
    <w:p w:rsidR="002C61E3" w:rsidRDefault="002C61E3">
      <w:pPr>
        <w:ind w:left="360"/>
        <w:jc w:val="both"/>
        <w:rPr>
          <w:sz w:val="22"/>
          <w:szCs w:val="22"/>
        </w:rPr>
      </w:pPr>
    </w:p>
    <w:p w:rsidR="002C61E3" w:rsidRDefault="005C3483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C) ÚDRŽBA STROMOŘADÍ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rozpočet projektu,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prostá kopie výpisu z bankovního účtu (možno se začerněnými nebo přelepenými finančn</w:t>
      </w:r>
      <w:r>
        <w:rPr>
          <w:sz w:val="22"/>
          <w:szCs w:val="22"/>
        </w:rPr>
        <w:t>ími údaji) podepsaná statutárním zástupcem žadatele (žadatelem v případě fyzických osob). Z dokladu musí být patrné: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bankovního účtu (na </w:t>
      </w:r>
      <w:bookmarkStart w:id="0" w:name="_GoBack"/>
      <w:bookmarkEnd w:id="0"/>
      <w:r>
        <w:rPr>
          <w:sz w:val="22"/>
          <w:szCs w:val="22"/>
        </w:rPr>
        <w:t>který</w:t>
      </w:r>
      <w:r>
        <w:rPr>
          <w:sz w:val="22"/>
          <w:szCs w:val="22"/>
        </w:rPr>
        <w:t xml:space="preserve"> budou v případě poskytnutí dotace zaslány peněžní prostředky),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majitel bankovního účtu,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 souladu plán</w:t>
      </w:r>
      <w:r>
        <w:rPr>
          <w:sz w:val="22"/>
          <w:szCs w:val="22"/>
        </w:rPr>
        <w:t>ovaného zásahu se zákonem č. 114/1992 sb. o ochraně přírody a krajiny v platném znění (zejména §§ 6, 7, 8, 9, 46, 47 a 56),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souhlas všech vlastníků/spoluvlastníků dotčených pozemků s provedením navrhovaného opatření,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výpis z katastru nemovitostí k pozemkům</w:t>
      </w:r>
      <w:r>
        <w:rPr>
          <w:sz w:val="22"/>
          <w:szCs w:val="22"/>
        </w:rPr>
        <w:t xml:space="preserve"> dotčeným realizací projektu,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dendrologická studie,</w:t>
      </w:r>
    </w:p>
    <w:p w:rsidR="002C61E3" w:rsidRDefault="005C3483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projektová dokumentace vč. fotodokumentace zahrnující mj.: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realizačních opatření k zabezpečení předmětu projektu – popis technického řešení,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lokalizace zásahu (mapa se zákresem),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pasport jednotek (s</w:t>
      </w:r>
      <w:r>
        <w:rPr>
          <w:sz w:val="22"/>
          <w:szCs w:val="22"/>
        </w:rPr>
        <w:t>tromů) – číslo (dle vlastní stupnice),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lokace (GPS do 2m přesnosti), druh, obvod kmene v případě dřevin od 130 cm nad zemí, výška, věk (rámcový odhad), sadovnická nebo ekologická hodnota (slovní popis nebo stupnice dle libovolně zvolené metodiky hodnocení)</w:t>
      </w:r>
      <w:r>
        <w:rPr>
          <w:sz w:val="22"/>
          <w:szCs w:val="22"/>
        </w:rPr>
        <w:t>, slovní popis (charakter větvení, popis deformací, %suchých větví, viditelná poškození, vliv na nemovitosti nebo sítě, aj.),</w:t>
      </w:r>
    </w:p>
    <w:p w:rsidR="002C61E3" w:rsidRDefault="005C348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charakteristika zásahu – popis nápravy a rozsahu opatření na danou jednotku.</w:t>
      </w:r>
    </w:p>
    <w:p w:rsidR="002C61E3" w:rsidRDefault="002C61E3">
      <w:pPr>
        <w:ind w:left="360"/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Povinné přílohy přikládá žadatel pouze k žádosti v l</w:t>
      </w:r>
      <w:r>
        <w:rPr>
          <w:sz w:val="22"/>
          <w:szCs w:val="22"/>
        </w:rPr>
        <w:t>istinné podobě.</w:t>
      </w:r>
    </w:p>
    <w:p w:rsidR="002C61E3" w:rsidRDefault="002C61E3">
      <w:pPr>
        <w:ind w:left="360"/>
        <w:jc w:val="both"/>
        <w:rPr>
          <w:sz w:val="22"/>
          <w:szCs w:val="22"/>
        </w:rPr>
      </w:pP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II.</w:t>
      </w: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Vyhodnocení žádosti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dotace vyhodnotí všechny došlé žádosti z hlediska jejich úplnosti a správnosti.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žádost obsahuje vady, které lze odstranit nebo je žádost neúplná, poskytovatel dotace vyzve žadatele (</w:t>
      </w:r>
      <w:r>
        <w:rPr>
          <w:sz w:val="22"/>
          <w:szCs w:val="22"/>
        </w:rPr>
        <w:t>telefonicky a následně elektronickou poštou), aby vady odstranil nebo žádost doplnil, a to nejpozději ve lhůtě do 5 pracovních dnů ode dne odeslání výzvy elektronickou poštou k odstranění vad nebo doplnění žádosti. Odstranění vad může žadatel provést osobn</w:t>
      </w:r>
      <w:r>
        <w:rPr>
          <w:sz w:val="22"/>
          <w:szCs w:val="22"/>
        </w:rPr>
        <w:t>ě opravou v již podané listinné žádosti nebo samostatným podáním, ve kterém opravu žádosti specifikuje. Pro příjem samostatného podání platí stejná pravidla jako pro příjem žádostí, viz čl. I pravidel. Pro další vyhodnocení žádosti je rozhodující datum pro</w:t>
      </w:r>
      <w:r>
        <w:rPr>
          <w:sz w:val="22"/>
          <w:szCs w:val="22"/>
        </w:rPr>
        <w:t>vedení opravy nebo doručení samostatného podání se specifikací opravy žádosti.</w:t>
      </w:r>
    </w:p>
    <w:p w:rsidR="002C61E3" w:rsidRDefault="005C3483">
      <w:pPr>
        <w:spacing w:after="200" w:line="276" w:lineRule="auto"/>
        <w:rPr>
          <w:sz w:val="22"/>
          <w:szCs w:val="22"/>
        </w:rPr>
      </w:pPr>
      <w:r>
        <w:br w:type="page"/>
      </w: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Čl. III.</w:t>
      </w: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pro poskytnutí dotace, předmět dotace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Poskytovatel dotace poskytne dotaci jen těm žadatelům, kteří podali úplné a správně vyplněné žádosti (v elektronické i</w:t>
      </w:r>
      <w:r>
        <w:rPr>
          <w:sz w:val="22"/>
          <w:szCs w:val="22"/>
        </w:rPr>
        <w:t xml:space="preserve"> listinné podobě) se všemi přílohami, které k žádosti náleží, ve lhůtě stanovené pro příjem žádostí a splnili další podmínky pro poskytnutí dotace specifikované dále v tomto článku.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Dotace je investičního/neinvestičního charakteru a lze ji použít výhradně</w:t>
      </w:r>
      <w:r>
        <w:rPr>
          <w:sz w:val="22"/>
          <w:szCs w:val="22"/>
        </w:rPr>
        <w:t xml:space="preserve"> k těmto účelům – pro oblast:</w:t>
      </w:r>
    </w:p>
    <w:p w:rsidR="002C61E3" w:rsidRDefault="005C3483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OCHRANA PŘÍRODY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záchranné programy zvláště chráněných druhů rostlin a živočichů, zejména významných ojedinělým výskytem v České republice na území kraje,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mapování a monitoring výskytu zvláště chráněných druhů rostlin a živočic</w:t>
      </w:r>
      <w:r>
        <w:rPr>
          <w:sz w:val="22"/>
          <w:szCs w:val="22"/>
        </w:rPr>
        <w:t xml:space="preserve">hů a druhů významných, v rámci kraje s výjimkou biologického hodnocení území dle zvláštních předpisů, 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programy ochrany biodiverzity,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podporu činnosti záchranných stanic pro zraněné a hendikepované živočichy,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projekty a programy na ochranu přírody a krajin</w:t>
      </w:r>
      <w:r>
        <w:rPr>
          <w:sz w:val="22"/>
          <w:szCs w:val="22"/>
        </w:rPr>
        <w:t>y včetně ochrany přírodních stanovišť,</w:t>
      </w:r>
    </w:p>
    <w:p w:rsidR="002C61E3" w:rsidRDefault="005C348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projekty technických úprav v krajině pomocí přírodě šetrných technologií, zejména úpravy </w:t>
      </w:r>
      <w:r>
        <w:rPr>
          <w:sz w:val="22"/>
          <w:szCs w:val="22"/>
        </w:rPr>
        <w:br/>
        <w:t xml:space="preserve">a značení pramenů vodních toků, péče o vodní zdroje, zřízení a obnovu studánek, zřízení </w:t>
      </w:r>
      <w:r>
        <w:rPr>
          <w:sz w:val="22"/>
          <w:szCs w:val="22"/>
        </w:rPr>
        <w:br/>
        <w:t xml:space="preserve">a opravy malých technických a </w:t>
      </w:r>
      <w:r>
        <w:rPr>
          <w:sz w:val="22"/>
          <w:szCs w:val="22"/>
        </w:rPr>
        <w:t>kulturních staveb v krajině umocňující krajinný ráz, projekty čištění malých vodních toků a tůněk apod.</w:t>
      </w:r>
    </w:p>
    <w:p w:rsidR="002C61E3" w:rsidRDefault="002C61E3">
      <w:pPr>
        <w:pStyle w:val="Odstavecseseznamem"/>
        <w:ind w:left="720"/>
        <w:jc w:val="both"/>
        <w:rPr>
          <w:b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ENVIRONMENTÁLNÍ VÝCHOVA, VZDĚLÁVÁNÍ A OSVĚTA (EVVO) </w:t>
      </w:r>
    </w:p>
    <w:p w:rsidR="002C61E3" w:rsidRDefault="005C3483">
      <w:pPr>
        <w:pStyle w:val="Odstavecseseznamem"/>
        <w:numPr>
          <w:ilvl w:val="0"/>
          <w:numId w:val="8"/>
        </w:numPr>
        <w:ind w:left="708" w:firstLine="66"/>
        <w:contextualSpacing/>
        <w:jc w:val="both"/>
        <w:rPr>
          <w:b/>
          <w:bCs/>
        </w:rPr>
      </w:pPr>
      <w:r>
        <w:rPr>
          <w:b/>
          <w:bCs/>
        </w:rPr>
        <w:t>celoroční provoz střediska s ekovýchovným zaměřením, kdy:</w:t>
      </w:r>
    </w:p>
    <w:p w:rsidR="002C61E3" w:rsidRDefault="005C3483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ekologická výchova je v zakládacím dokum</w:t>
      </w:r>
      <w:r>
        <w:rPr>
          <w:sz w:val="22"/>
          <w:szCs w:val="22"/>
        </w:rPr>
        <w:t>entu žadatele uvedena jako hlavní činnost nebo jedna z hlavních činností,</w:t>
      </w:r>
    </w:p>
    <w:p w:rsidR="002C61E3" w:rsidRDefault="005C3483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ekovýchovné středisko žadatele k datu vyhlášení programu podpory provádělo soustavnou ekovýchovnou činnost minimálně půl roku,</w:t>
      </w:r>
    </w:p>
    <w:p w:rsidR="002C61E3" w:rsidRDefault="005C3483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středisko s ekovýchovným zaměřením má prostory pro ekov</w:t>
      </w:r>
      <w:r>
        <w:rPr>
          <w:sz w:val="22"/>
          <w:szCs w:val="22"/>
        </w:rPr>
        <w:t>ýchovnou činnost ve svém vlastnictví nebo v dlouhodobém pronájmu,</w:t>
      </w:r>
    </w:p>
    <w:p w:rsidR="002C61E3" w:rsidRDefault="005C3483">
      <w:pPr>
        <w:pStyle w:val="Odstavecseseznamem"/>
        <w:numPr>
          <w:ilvl w:val="0"/>
          <w:numId w:val="8"/>
        </w:numPr>
        <w:ind w:left="708" w:firstLine="66"/>
        <w:contextualSpacing/>
        <w:jc w:val="both"/>
        <w:rPr>
          <w:b/>
          <w:bCs/>
        </w:rPr>
      </w:pPr>
      <w:r>
        <w:rPr>
          <w:b/>
          <w:bCs/>
        </w:rPr>
        <w:t>akce pro veřejnost:</w:t>
      </w:r>
    </w:p>
    <w:p w:rsidR="002C61E3" w:rsidRDefault="005C3483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pořádání akcí s ekovýchovnou tématikou, soutěží, dílen,</w:t>
      </w:r>
    </w:p>
    <w:p w:rsidR="002C61E3" w:rsidRDefault="005C3483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 zaměřené především na mládež (předškolní, školní i středoškolskou),</w:t>
      </w:r>
    </w:p>
    <w:p w:rsidR="002C61E3" w:rsidRDefault="005C3483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 zaměřená především na ostatní cílové</w:t>
      </w:r>
      <w:r>
        <w:rPr>
          <w:sz w:val="22"/>
          <w:szCs w:val="22"/>
        </w:rPr>
        <w:t xml:space="preserve"> skupiny veřejnosti (např. věkové, profesní),</w:t>
      </w:r>
    </w:p>
    <w:p w:rsidR="002C61E3" w:rsidRDefault="005C3483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informační materiály, tiskoviny nebo přenosy dat jinými nosiči jako jsou například CD, DVD, Multimediální aplikace, audiovizuální produkty, nebo WWW stránky,</w:t>
      </w:r>
    </w:p>
    <w:p w:rsidR="002C61E3" w:rsidRDefault="005C3483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informační materiály periodického charakteru, které jsou převážně určeny pro veřejnost </w:t>
      </w:r>
      <w:r>
        <w:rPr>
          <w:sz w:val="22"/>
          <w:szCs w:val="22"/>
        </w:rPr>
        <w:br/>
        <w:t>(tj. nikoliv pouze pro členy vlastní organizace), informační materiály neperiodického charakteru (informační skládanky, publikace, sborníky, CD apod.), informační mater</w:t>
      </w:r>
      <w:r>
        <w:rPr>
          <w:sz w:val="22"/>
          <w:szCs w:val="22"/>
        </w:rPr>
        <w:t xml:space="preserve">iály </w:t>
      </w:r>
      <w:r>
        <w:rPr>
          <w:sz w:val="22"/>
          <w:szCs w:val="22"/>
        </w:rPr>
        <w:br/>
        <w:t>s charakterem regionálních učebních textů určený pro základní, odborné a střední školství.</w:t>
      </w:r>
    </w:p>
    <w:p w:rsidR="002C61E3" w:rsidRDefault="002C61E3">
      <w:pPr>
        <w:pStyle w:val="Odstavecseseznamem"/>
        <w:ind w:left="720"/>
        <w:jc w:val="both"/>
        <w:rPr>
          <w:b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ÚDRŽBA STROMOŘADÍ</w:t>
      </w:r>
    </w:p>
    <w:p w:rsidR="002C61E3" w:rsidRDefault="005C3483">
      <w:pPr>
        <w:pStyle w:val="Odstavecseseznamem"/>
        <w:numPr>
          <w:ilvl w:val="0"/>
          <w:numId w:val="17"/>
        </w:numPr>
        <w:jc w:val="both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projekty na zdravotní řez a zabezpečení provozní bezpečnosti dřevin, výsadbu, dosadbu </w:t>
      </w:r>
      <w:r>
        <w:rPr>
          <w:sz w:val="22"/>
          <w:szCs w:val="22"/>
        </w:rPr>
        <w:br/>
        <w:t>a doplnění stromořadí.</w:t>
      </w:r>
    </w:p>
    <w:p w:rsidR="002C61E3" w:rsidRDefault="002C61E3">
      <w:pPr>
        <w:ind w:left="284"/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</w:pPr>
      <w:r>
        <w:rPr>
          <w:sz w:val="22"/>
          <w:szCs w:val="22"/>
        </w:rPr>
        <w:t>Dotace se poskytuje na účely,</w:t>
      </w:r>
      <w:r>
        <w:rPr>
          <w:sz w:val="22"/>
          <w:szCs w:val="22"/>
        </w:rPr>
        <w:t xml:space="preserve"> uvedené v odstavci 2 tohoto článku a v Programu pro poskytování dotací z rozpočtu Karlovarského kraje na podporu ochrany životního prostředí a environmentální výchovy, vzdělávání a osvěty.</w:t>
      </w:r>
    </w:p>
    <w:p w:rsidR="002C61E3" w:rsidRDefault="005C3483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Pro bližší specifikaci k oblasti </w:t>
      </w:r>
      <w:r>
        <w:rPr>
          <w:b/>
          <w:sz w:val="22"/>
          <w:szCs w:val="22"/>
        </w:rPr>
        <w:t>C) ÚDRŽBA STROMOŘADÍ</w:t>
      </w:r>
      <w:r>
        <w:rPr>
          <w:sz w:val="22"/>
          <w:szCs w:val="22"/>
        </w:rPr>
        <w:t xml:space="preserve"> bude dotace </w:t>
      </w:r>
      <w:r>
        <w:rPr>
          <w:sz w:val="22"/>
          <w:szCs w:val="22"/>
        </w:rPr>
        <w:t xml:space="preserve">poskytována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>:</w:t>
      </w:r>
    </w:p>
    <w:p w:rsidR="002C61E3" w:rsidRDefault="005C348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asanační zásahy na stávajících prvcích stromořadí (kácení a náklady s ním spojené, arboristické zásahy) – v případě prodeje vytěžené hmoty se získané finanční prostředky odečítají od částky dotace nebo jsou započítány do hodnoty spoluúčasti</w:t>
      </w:r>
      <w:r>
        <w:rPr>
          <w:sz w:val="22"/>
          <w:szCs w:val="22"/>
        </w:rPr>
        <w:t xml:space="preserve"> žadatele),</w:t>
      </w:r>
    </w:p>
    <w:p w:rsidR="002C61E3" w:rsidRDefault="005C348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výsadby a s nimi související činnosti v daném roce,</w:t>
      </w:r>
    </w:p>
    <w:p w:rsidR="002C61E3" w:rsidRDefault="005C348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nákup výsadbového materiálu, tj. sazenic stromů v základních parametrech od obvodu kmene v kategorii 10 cm se zapěstováním základní koruny bez viditelných vad a deformací, případně ovocné stro</w:t>
      </w:r>
      <w:r>
        <w:rPr>
          <w:sz w:val="22"/>
          <w:szCs w:val="22"/>
        </w:rPr>
        <w:t>my s menšími rozměry a parametry, dopěstovávané na lokalitě, dále i souvisejícího materiálu pro kotvení, ochranu kmene a substrátů.</w:t>
      </w:r>
    </w:p>
    <w:p w:rsidR="002C61E3" w:rsidRDefault="002C61E3">
      <w:pPr>
        <w:pStyle w:val="Odstavecseseznamem"/>
        <w:ind w:left="1080"/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DPH je uznatelným výdajem (odst. 2 tohoto článku), pokud příjemce dotace:</w:t>
      </w:r>
    </w:p>
    <w:p w:rsidR="002C61E3" w:rsidRDefault="005C3483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 plátcem DPH, a z tohoto důvodu nemůže nároko</w:t>
      </w:r>
      <w:r>
        <w:rPr>
          <w:sz w:val="22"/>
          <w:szCs w:val="22"/>
        </w:rPr>
        <w:t>vat a nenárokuje odpočet daně na vstupu dle zákona číslo 235/2004 Sb., o dani z přidané hodnoty, ve znění pozdějších předpisů,</w:t>
      </w:r>
    </w:p>
    <w:p w:rsidR="002C61E3" w:rsidRDefault="005C3483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plátcem DPH, ale dle zákona číslo 235/2004 Sb., o dani z přidané hodnoty, ve znění pozdějších předpisů, nemá možnost nárokovat</w:t>
      </w:r>
      <w:r>
        <w:rPr>
          <w:sz w:val="22"/>
          <w:szCs w:val="22"/>
        </w:rPr>
        <w:t xml:space="preserve"> odpočet daně na vstupu. </w:t>
      </w:r>
    </w:p>
    <w:p w:rsidR="002C61E3" w:rsidRDefault="002C61E3">
      <w:pPr>
        <w:jc w:val="both"/>
        <w:rPr>
          <w:rFonts w:eastAsia="Arial Unicode MS"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Dotace se neposkytuje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: </w:t>
      </w:r>
    </w:p>
    <w:p w:rsidR="002C61E3" w:rsidRDefault="005C3483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dary, pohoštění, mzdy pracovníků nebo funkcionářů příjemce či příjemce samotného, penále, úroky z úvěrů, náhrady škod, pojistné, pokuty, úhrady dluhu a další platby obdobného charakteru,</w:t>
      </w:r>
    </w:p>
    <w:p w:rsidR="002C61E3" w:rsidRDefault="005C3483">
      <w:pPr>
        <w:pStyle w:val="Odstavecseseznamem"/>
        <w:numPr>
          <w:ilvl w:val="0"/>
          <w:numId w:val="1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pro oblast, </w:t>
      </w:r>
      <w:r>
        <w:rPr>
          <w:b/>
          <w:sz w:val="22"/>
          <w:szCs w:val="22"/>
        </w:rPr>
        <w:t xml:space="preserve">C) </w:t>
      </w:r>
      <w:r>
        <w:rPr>
          <w:b/>
          <w:sz w:val="22"/>
          <w:szCs w:val="22"/>
        </w:rPr>
        <w:t>ÚDRŽBA STROMOŘADÍ</w:t>
      </w:r>
      <w:r>
        <w:rPr>
          <w:sz w:val="22"/>
          <w:szCs w:val="22"/>
        </w:rPr>
        <w:t xml:space="preserve">, nebude dotace poskytována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>:</w:t>
      </w:r>
    </w:p>
    <w:p w:rsidR="002C61E3" w:rsidRDefault="005C348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poplatky správním orgánům,</w:t>
      </w:r>
    </w:p>
    <w:p w:rsidR="002C61E3" w:rsidRDefault="005C348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zpracování dendrologické studie,</w:t>
      </w:r>
    </w:p>
    <w:p w:rsidR="002C61E3" w:rsidRDefault="005C348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zpracování projektové dokumentace,</w:t>
      </w:r>
    </w:p>
    <w:p w:rsidR="002C61E3" w:rsidRDefault="005C348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zásahy spočívající výhradně v kácení stromořadí, a to i v případě, že obnova stromořadí po jeho úplném vykácení </w:t>
      </w:r>
      <w:r>
        <w:rPr>
          <w:sz w:val="22"/>
          <w:szCs w:val="22"/>
        </w:rPr>
        <w:t>nebude odpovídat alespoň 50% původního počtu stromů,</w:t>
      </w:r>
    </w:p>
    <w:p w:rsidR="002C61E3" w:rsidRDefault="005C348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výsadby dřevin bez zapěstování základních parametrů s výjimkou výsadeb ovocných stromů.</w:t>
      </w:r>
    </w:p>
    <w:p w:rsidR="002C61E3" w:rsidRDefault="002C61E3">
      <w:pPr>
        <w:jc w:val="both"/>
        <w:rPr>
          <w:rFonts w:eastAsia="Arial Unicode MS"/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Na financování projektu podaného v rámci tohoto dotačního programu není možné využít souběh dotací z rozpočtu kraj</w:t>
      </w:r>
      <w:r>
        <w:rPr>
          <w:rFonts w:eastAsia="Arial Unicode MS"/>
          <w:sz w:val="22"/>
          <w:szCs w:val="22"/>
        </w:rPr>
        <w:t>e.</w:t>
      </w:r>
    </w:p>
    <w:p w:rsidR="002C61E3" w:rsidRDefault="002C61E3">
      <w:pPr>
        <w:pStyle w:val="Odstavecseseznamem"/>
        <w:ind w:left="360"/>
        <w:jc w:val="both"/>
        <w:rPr>
          <w:rFonts w:eastAsia="Arial Unicode MS"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Dotace se poskytuje na realizaci projektu/činnosti/akce v příslušném kalendářním roce.</w:t>
      </w:r>
    </w:p>
    <w:p w:rsidR="002C61E3" w:rsidRDefault="002C61E3">
      <w:pPr>
        <w:pStyle w:val="Odstavecseseznamem"/>
        <w:ind w:left="360"/>
        <w:jc w:val="both"/>
        <w:rPr>
          <w:rFonts w:eastAsia="Arial Unicode MS"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4"/>
        </w:numPr>
        <w:jc w:val="both"/>
      </w:pPr>
      <w:r>
        <w:rPr>
          <w:rFonts w:eastAsia="Arial Unicode MS"/>
          <w:sz w:val="22"/>
          <w:szCs w:val="22"/>
        </w:rPr>
        <w:t>Maximální část nákladů na realizaci projektu, která může být hrazena z dotace, činí 80% celkových uznatelných nákladů projektu s tím, že maximální výše dotace na je</w:t>
      </w:r>
      <w:r>
        <w:rPr>
          <w:rFonts w:eastAsia="Arial Unicode MS"/>
          <w:sz w:val="22"/>
          <w:szCs w:val="22"/>
        </w:rPr>
        <w:t>dnoho žadatele a příslušný kalendářní rok činí 80 000 Kč vč. DPH (pokud žadatel nebude uplatňovat odpočet DPH). Vlastní podíl žadatele musí činit minimálně 20% celkových uznatelných nákladů na realizaci projektu. Tyto podmínky musí být splněny současně.</w:t>
      </w:r>
    </w:p>
    <w:p w:rsidR="002C61E3" w:rsidRDefault="002C61E3">
      <w:pPr>
        <w:pStyle w:val="Odstavecseseznamem"/>
        <w:rPr>
          <w:rFonts w:eastAsia="Arial Unicode MS"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Kritéria pro hodnocení přijatých žádostí: kritériem pro hodnocení přijatých žádostí je splnění podmínek vyplývajících z vyhlášení tohoto dotačního programu, těchto pravidel a pořadí došlé elektronické žádosti v dotačním portálu Karlovarského kraje.</w:t>
      </w:r>
    </w:p>
    <w:p w:rsidR="002C61E3" w:rsidRDefault="002C61E3">
      <w:pPr>
        <w:pStyle w:val="Odstavecseseznamem"/>
        <w:rPr>
          <w:rFonts w:eastAsia="Arial Unicode MS"/>
          <w:sz w:val="22"/>
          <w:szCs w:val="22"/>
        </w:rPr>
      </w:pPr>
    </w:p>
    <w:p w:rsidR="002C61E3" w:rsidRDefault="005C3483">
      <w:pPr>
        <w:pStyle w:val="Odstavecseseznamem"/>
        <w:numPr>
          <w:ilvl w:val="0"/>
          <w:numId w:val="4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Finanč</w:t>
      </w:r>
      <w:r>
        <w:rPr>
          <w:rFonts w:eastAsia="Arial Unicode MS"/>
          <w:sz w:val="22"/>
          <w:szCs w:val="22"/>
        </w:rPr>
        <w:t>ní plnění podle smlouvy o dílo mezi žadatelem a zhotovitelem může probíhat od počátku daného kalendářního roku, tedy ještě před případným získáním dotace.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Podmínkou pro poskytnutí dotace (převedení prostředků na účet žadatele) je vyrovnání veškerých splat</w:t>
      </w:r>
      <w:r>
        <w:rPr>
          <w:sz w:val="22"/>
          <w:szCs w:val="22"/>
        </w:rPr>
        <w:t>ných dluhů a závazků žadatele vůči poskytovateli dotace.</w:t>
      </w:r>
    </w:p>
    <w:p w:rsidR="002C61E3" w:rsidRDefault="002C61E3">
      <w:pPr>
        <w:jc w:val="both"/>
        <w:rPr>
          <w:sz w:val="22"/>
          <w:szCs w:val="22"/>
        </w:rPr>
      </w:pP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IV.</w:t>
      </w: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Poskytnutí dotace</w:t>
      </w:r>
    </w:p>
    <w:p w:rsidR="002C61E3" w:rsidRDefault="002C61E3">
      <w:pPr>
        <w:jc w:val="center"/>
        <w:rPr>
          <w:b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Poskytovatel dotace poskytne dotaci jen a výhradně v případě souhlasného rozhodnutí orgánu kraje, jímž je Rada nebo Zastupitelstvo Karlovarského kraje, a to na základě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veřejnoprávní smlouvy o poskytnutí dotace z rozpočtu Karlovarského kraje.</w:t>
      </w:r>
    </w:p>
    <w:p w:rsidR="002C61E3" w:rsidRDefault="002C61E3">
      <w:pPr>
        <w:pStyle w:val="Tlotextu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žadatel vyrozuměn nejpozději do 15 kalendářních dnů ode dne zveřejnění ověřeného usnesení.</w:t>
      </w:r>
    </w:p>
    <w:p w:rsidR="002C61E3" w:rsidRDefault="002C61E3">
      <w:pPr>
        <w:pStyle w:val="Odstavecseseznamem"/>
        <w:rPr>
          <w:b/>
          <w:bCs/>
          <w:i/>
          <w:iCs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nárok.</w:t>
      </w:r>
    </w:p>
    <w:p w:rsidR="002C61E3" w:rsidRDefault="002C61E3">
      <w:pPr>
        <w:jc w:val="center"/>
        <w:rPr>
          <w:b/>
          <w:sz w:val="22"/>
          <w:szCs w:val="22"/>
        </w:rPr>
      </w:pP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V.</w:t>
      </w:r>
    </w:p>
    <w:p w:rsidR="002C61E3" w:rsidRDefault="005C34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Použití, kontrola a finanční vypořádání poskytnuté dotace</w:t>
      </w:r>
    </w:p>
    <w:p w:rsidR="002C61E3" w:rsidRDefault="002C61E3">
      <w:pPr>
        <w:jc w:val="center"/>
        <w:rPr>
          <w:b/>
          <w:sz w:val="22"/>
          <w:szCs w:val="22"/>
        </w:rPr>
      </w:pPr>
    </w:p>
    <w:p w:rsidR="002C61E3" w:rsidRDefault="002C61E3">
      <w:pPr>
        <w:jc w:val="center"/>
        <w:rPr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odpovídá za jejich řádné a oddělené sledování v účetnictví.</w:t>
      </w:r>
    </w:p>
    <w:p w:rsidR="002C61E3" w:rsidRDefault="002C61E3">
      <w:pPr>
        <w:pStyle w:val="Tlotextu"/>
        <w:jc w:val="both"/>
        <w:rPr>
          <w:rFonts w:cs="Times New Roman"/>
        </w:rPr>
      </w:pPr>
    </w:p>
    <w:p w:rsidR="002C61E3" w:rsidRDefault="005C3483">
      <w:pPr>
        <w:pStyle w:val="Tlotextu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Dl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e zákona číslo 320/2001 Sb., o finanční kontrole ve veřejné správě a o změně některých zákonů (zákon o finanční kontrole), ve znění pozdějších předpisů a zákona číslo 255/2012 Sb., o kontrole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(kontrolní řád), ve znění pozdějších předpisů, je kraj jako poskytovatel dotace oprávněn kontrolovat dodržení podmínek pro poskytnutí dotace stanovených ve veřejnoprávní smlouvě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br/>
        <w:t>o poskytnutí dotace. Tuto kontrolu vykonávají pověření zaměstnanci a členové p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říslušných kontrolních orgánů kraje.</w:t>
      </w:r>
    </w:p>
    <w:p w:rsidR="002C61E3" w:rsidRDefault="002C61E3">
      <w:pPr>
        <w:pStyle w:val="Tlotextu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Příjemce je povinen v rámci výkonu kontrolní činnosti dle předchozího odstavce tohoto článku předložit pověřeným zaměstnancům a členům příslušných kontrolních orgánů kraje k nahlédnutí veškeré účetní záznamy týkající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e poskytnuté dotace. Na vyžádání předloží i ostatní účetní doklady. </w:t>
      </w:r>
    </w:p>
    <w:p w:rsidR="002C61E3" w:rsidRDefault="002C61E3">
      <w:pPr>
        <w:pStyle w:val="Tlotex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 je účelově určena a podléhá finančnímu vypořádání na předepsaném formuláři, který je přílohou vyhlášení dotačního programu. Příjemce je povinen provést a předložit odboru životníh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prostředí a zemědělství (dále jen „OŽPZ“) finanční vypořádání dotace nejpozději do termínu stanoveného ve veřejnoprávní smlouvě o poskytnutí dotace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OŽPZ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 obdržení finančního vypořádání provede kontrolu správnosti předložených účetních dokladů a dodrže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ní stanoveného účelu použití poskytnutých finančních prostředků. Příjemce k finančnímu vypořádání musí předložit kopie veškerých účetních dokladů prokazujících skutečné náklady realizace projektu v příslušném kalendářním roce ve výši poskytnutých finančníc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ložit příjemce při finančním vypořádání k nahlédnutí originály účetních dokladů, resp. veškeré průkazné účetní záznamy vztahující se k poskytnuté dotaci. Tyto originály dokladů budou opatřeny razítkem a podpisem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OŽPZ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2C61E3" w:rsidRDefault="002C61E3">
      <w:pPr>
        <w:pStyle w:val="Odstavecseseznamem"/>
        <w:rPr>
          <w:b/>
          <w:bCs/>
          <w:i/>
          <w:iCs/>
          <w:sz w:val="22"/>
          <w:szCs w:val="22"/>
        </w:rPr>
      </w:pPr>
    </w:p>
    <w:p w:rsidR="002C61E3" w:rsidRDefault="005C3483">
      <w:pPr>
        <w:pStyle w:val="Tlotextu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nevyužité finanční prostředky vráceny zpět na účet poskytovatele nejpozději do termínu stanoveného ve veřejnoprávní smlouvě o poskytnutí dotace pro předložení závěrečného finančního vypořádání dotace. Před vrácením nevyčerpaných finančních prostředků zpět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na účet kraje je příjemce o této skutečnosti povinen informovat OŽPZ. Pro tento účel příjemce použije formulář Avízo, který je součástí formuláře Finanční vypořádání.</w:t>
      </w:r>
    </w:p>
    <w:p w:rsidR="002C61E3" w:rsidRDefault="002C61E3">
      <w:pPr>
        <w:pStyle w:val="Tlotex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2C61E3" w:rsidRDefault="005C3483">
      <w:pPr>
        <w:pStyle w:val="Odstavecseseznamem"/>
        <w:ind w:left="0"/>
        <w:jc w:val="both"/>
      </w:pPr>
      <w:r>
        <w:rPr>
          <w:sz w:val="22"/>
          <w:szCs w:val="22"/>
        </w:rPr>
        <w:t>Karlovy Vary dne 22. 12. 2017</w:t>
      </w:r>
    </w:p>
    <w:p w:rsidR="002C61E3" w:rsidRDefault="002C61E3">
      <w:pPr>
        <w:rPr>
          <w:b/>
          <w:sz w:val="22"/>
          <w:szCs w:val="22"/>
        </w:rPr>
      </w:pPr>
    </w:p>
    <w:p w:rsidR="002C61E3" w:rsidRDefault="002C61E3">
      <w:pPr>
        <w:rPr>
          <w:sz w:val="22"/>
          <w:szCs w:val="22"/>
        </w:rPr>
      </w:pPr>
    </w:p>
    <w:p w:rsidR="002C61E3" w:rsidRDefault="002C61E3">
      <w:pPr>
        <w:rPr>
          <w:sz w:val="22"/>
          <w:szCs w:val="22"/>
        </w:rPr>
      </w:pPr>
    </w:p>
    <w:p w:rsidR="002C61E3" w:rsidRDefault="002C61E3">
      <w:pPr>
        <w:rPr>
          <w:sz w:val="22"/>
          <w:szCs w:val="22"/>
        </w:rPr>
      </w:pPr>
    </w:p>
    <w:p w:rsidR="002C61E3" w:rsidRDefault="002C61E3">
      <w:pPr>
        <w:rPr>
          <w:sz w:val="22"/>
          <w:szCs w:val="22"/>
        </w:rPr>
      </w:pPr>
    </w:p>
    <w:p w:rsidR="002C61E3" w:rsidRDefault="002C61E3">
      <w:pPr>
        <w:rPr>
          <w:sz w:val="22"/>
          <w:szCs w:val="22"/>
        </w:rPr>
      </w:pPr>
    </w:p>
    <w:p w:rsidR="002C61E3" w:rsidRDefault="005C3483">
      <w:pPr>
        <w:tabs>
          <w:tab w:val="left" w:pos="1557"/>
        </w:tabs>
      </w:pPr>
      <w:r>
        <w:rPr>
          <w:sz w:val="22"/>
          <w:szCs w:val="22"/>
        </w:rPr>
        <w:tab/>
      </w:r>
    </w:p>
    <w:sectPr w:rsidR="002C61E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B20"/>
    <w:multiLevelType w:val="multilevel"/>
    <w:tmpl w:val="A532F372"/>
    <w:lvl w:ilvl="0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─"/>
      <w:lvlJc w:val="left"/>
      <w:pPr>
        <w:ind w:left="1788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4864B43"/>
    <w:multiLevelType w:val="multilevel"/>
    <w:tmpl w:val="08ACFFA8"/>
    <w:lvl w:ilvl="0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57B7BEE"/>
    <w:multiLevelType w:val="multilevel"/>
    <w:tmpl w:val="59F44706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896150"/>
    <w:multiLevelType w:val="multilevel"/>
    <w:tmpl w:val="F0B4BED0"/>
    <w:lvl w:ilvl="0">
      <w:start w:val="1"/>
      <w:numFmt w:val="bullet"/>
      <w:lvlText w:val="─"/>
      <w:lvlJc w:val="left"/>
      <w:pPr>
        <w:ind w:left="1157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597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cs="Wingdings" w:hint="default"/>
      </w:rPr>
    </w:lvl>
  </w:abstractNum>
  <w:abstractNum w:abstractNumId="4">
    <w:nsid w:val="172A553D"/>
    <w:multiLevelType w:val="multilevel"/>
    <w:tmpl w:val="9266C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833E9"/>
    <w:multiLevelType w:val="multilevel"/>
    <w:tmpl w:val="8512A03E"/>
    <w:lvl w:ilvl="0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─"/>
      <w:lvlJc w:val="left"/>
      <w:pPr>
        <w:ind w:left="1788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C092E88"/>
    <w:multiLevelType w:val="multilevel"/>
    <w:tmpl w:val="B762A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55262"/>
    <w:multiLevelType w:val="multilevel"/>
    <w:tmpl w:val="8E224734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35E391C"/>
    <w:multiLevelType w:val="multilevel"/>
    <w:tmpl w:val="5434A23E"/>
    <w:lvl w:ilvl="0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3DB6EBA"/>
    <w:multiLevelType w:val="multilevel"/>
    <w:tmpl w:val="295E7A70"/>
    <w:lvl w:ilvl="0">
      <w:start w:val="1"/>
      <w:numFmt w:val="bullet"/>
      <w:lvlText w:val="─"/>
      <w:lvlJc w:val="left"/>
      <w:pPr>
        <w:ind w:left="1211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>
    <w:nsid w:val="46002AA3"/>
    <w:multiLevelType w:val="multilevel"/>
    <w:tmpl w:val="DC5C42EC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3D55A9"/>
    <w:multiLevelType w:val="multilevel"/>
    <w:tmpl w:val="E7B22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E37A5E"/>
    <w:multiLevelType w:val="multilevel"/>
    <w:tmpl w:val="5B043BC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62D5B"/>
    <w:multiLevelType w:val="multilevel"/>
    <w:tmpl w:val="757C6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C16DA1"/>
    <w:multiLevelType w:val="multilevel"/>
    <w:tmpl w:val="F0CEA7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C3706FD"/>
    <w:multiLevelType w:val="multilevel"/>
    <w:tmpl w:val="839A0880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C8A57D8"/>
    <w:multiLevelType w:val="multilevel"/>
    <w:tmpl w:val="9E800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D76B9"/>
    <w:multiLevelType w:val="multilevel"/>
    <w:tmpl w:val="CD20C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907"/>
    <w:multiLevelType w:val="multilevel"/>
    <w:tmpl w:val="F64ECF60"/>
    <w:lvl w:ilvl="0">
      <w:start w:val="1"/>
      <w:numFmt w:val="bullet"/>
      <w:lvlText w:val="─"/>
      <w:lvlJc w:val="left"/>
      <w:pPr>
        <w:ind w:left="797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7" w:hanging="360"/>
      </w:pPr>
      <w:rPr>
        <w:rFonts w:ascii="Wingdings" w:hAnsi="Wingdings" w:cs="Wingdings" w:hint="default"/>
      </w:rPr>
    </w:lvl>
  </w:abstractNum>
  <w:abstractNum w:abstractNumId="19">
    <w:nsid w:val="6E785022"/>
    <w:multiLevelType w:val="multilevel"/>
    <w:tmpl w:val="FB384DA4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A130D3"/>
    <w:multiLevelType w:val="multilevel"/>
    <w:tmpl w:val="91E2F91A"/>
    <w:lvl w:ilvl="0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15"/>
  </w:num>
  <w:num w:numId="9">
    <w:abstractNumId w:val="7"/>
  </w:num>
  <w:num w:numId="10">
    <w:abstractNumId w:val="2"/>
  </w:num>
  <w:num w:numId="11">
    <w:abstractNumId w:val="5"/>
  </w:num>
  <w:num w:numId="12">
    <w:abstractNumId w:val="19"/>
  </w:num>
  <w:num w:numId="13">
    <w:abstractNumId w:val="0"/>
  </w:num>
  <w:num w:numId="14">
    <w:abstractNumId w:val="20"/>
  </w:num>
  <w:num w:numId="15">
    <w:abstractNumId w:val="1"/>
  </w:num>
  <w:num w:numId="16">
    <w:abstractNumId w:val="9"/>
  </w:num>
  <w:num w:numId="17">
    <w:abstractNumId w:val="8"/>
  </w:num>
  <w:num w:numId="18">
    <w:abstractNumId w:val="10"/>
  </w:num>
  <w:num w:numId="19">
    <w:abstractNumId w:val="1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3"/>
    <w:rsid w:val="002C61E3"/>
    <w:rsid w:val="005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04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2C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F1D4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0B26EC"/>
    <w:rPr>
      <w:color w:val="0000FF" w:themeColor="hyperlink"/>
      <w:u w:val="single"/>
    </w:rPr>
  </w:style>
  <w:style w:type="character" w:customStyle="1" w:styleId="DefaultChar">
    <w:name w:val="Default Char"/>
    <w:link w:val="Default"/>
    <w:qFormat/>
    <w:rsid w:val="00537F60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rFonts w:eastAsia="Calibri" w:cs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rFonts w:eastAsia="Calibri" w:cs="Times New Roman"/>
      <w:color w:val="00000A"/>
      <w:sz w:val="22"/>
    </w:rPr>
  </w:style>
  <w:style w:type="character" w:customStyle="1" w:styleId="ListLabel5">
    <w:name w:val="ListLabel 5"/>
    <w:qFormat/>
    <w:rPr>
      <w:rFonts w:cs="Times New Roman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Times New Roman"/>
      <w:sz w:val="22"/>
    </w:rPr>
  </w:style>
  <w:style w:type="character" w:customStyle="1" w:styleId="ListLabel10">
    <w:name w:val="ListLabel 10"/>
    <w:qFormat/>
    <w:rPr>
      <w:rFonts w:cs="Times New Roman"/>
      <w:color w:val="00000A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Default">
    <w:name w:val="Default"/>
    <w:link w:val="DefaultChar"/>
    <w:qFormat/>
    <w:rsid w:val="000C608A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2C3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F1D4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F1D49"/>
    <w:rPr>
      <w:b/>
      <w:bCs/>
    </w:rPr>
  </w:style>
  <w:style w:type="paragraph" w:styleId="Revize">
    <w:name w:val="Revision"/>
    <w:uiPriority w:val="99"/>
    <w:semiHidden/>
    <w:qFormat/>
    <w:rsid w:val="000F1D49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04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qFormat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2C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F1D4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0B26EC"/>
    <w:rPr>
      <w:color w:val="0000FF" w:themeColor="hyperlink"/>
      <w:u w:val="single"/>
    </w:rPr>
  </w:style>
  <w:style w:type="character" w:customStyle="1" w:styleId="DefaultChar">
    <w:name w:val="Default Char"/>
    <w:link w:val="Default"/>
    <w:qFormat/>
    <w:rsid w:val="00537F60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rFonts w:eastAsia="Calibri" w:cs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rFonts w:eastAsia="Calibri" w:cs="Times New Roman"/>
      <w:color w:val="00000A"/>
      <w:sz w:val="22"/>
    </w:rPr>
  </w:style>
  <w:style w:type="character" w:customStyle="1" w:styleId="ListLabel5">
    <w:name w:val="ListLabel 5"/>
    <w:qFormat/>
    <w:rPr>
      <w:rFonts w:cs="Times New Roman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Times New Roman"/>
      <w:sz w:val="22"/>
    </w:rPr>
  </w:style>
  <w:style w:type="character" w:customStyle="1" w:styleId="ListLabel10">
    <w:name w:val="ListLabel 10"/>
    <w:qFormat/>
    <w:rPr>
      <w:rFonts w:cs="Times New Roman"/>
      <w:color w:val="00000A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Default">
    <w:name w:val="Default"/>
    <w:link w:val="DefaultChar"/>
    <w:qFormat/>
    <w:rsid w:val="000C608A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2C3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F1D4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F1D49"/>
    <w:rPr>
      <w:b/>
      <w:bCs/>
    </w:rPr>
  </w:style>
  <w:style w:type="paragraph" w:styleId="Revize">
    <w:name w:val="Revision"/>
    <w:uiPriority w:val="99"/>
    <w:semiHidden/>
    <w:qFormat/>
    <w:rsid w:val="000F1D49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tace.kr-karlovarsky.cz/gordic/ginis/app/RAP05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523FF2B6-0C8A-4E62-AAD5-EDD18170ABB5}"/>
</file>

<file path=customXml/itemProps2.xml><?xml version="1.0" encoding="utf-8"?>
<ds:datastoreItem xmlns:ds="http://schemas.openxmlformats.org/officeDocument/2006/customXml" ds:itemID="{A2FA6232-C70B-45C9-AFC8-7C5C9B84E538}"/>
</file>

<file path=customXml/itemProps3.xml><?xml version="1.0" encoding="utf-8"?>
<ds:datastoreItem xmlns:ds="http://schemas.openxmlformats.org/officeDocument/2006/customXml" ds:itemID="{101279D7-3E94-4843-8F1F-D1D168244667}"/>
</file>

<file path=customXml/itemProps4.xml><?xml version="1.0" encoding="utf-8"?>
<ds:datastoreItem xmlns:ds="http://schemas.openxmlformats.org/officeDocument/2006/customXml" ds:itemID="{8D510215-0491-448E-BF91-CFCCE1DA0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2097</Words>
  <Characters>12373</Characters>
  <Application>Microsoft Office Word</Application>
  <DocSecurity>0</DocSecurity>
  <Lines>103</Lines>
  <Paragraphs>28</Paragraphs>
  <ScaleCrop>false</ScaleCrop>
  <Company>Karlovarský kraj Krajský úřad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Lucie Tousecká</cp:lastModifiedBy>
  <cp:revision>255</cp:revision>
  <cp:lastPrinted>2017-12-07T10:24:00Z</cp:lastPrinted>
  <dcterms:created xsi:type="dcterms:W3CDTF">2017-11-08T11:17:00Z</dcterms:created>
  <dcterms:modified xsi:type="dcterms:W3CDTF">2017-12-27T20:00:00Z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0x010100E086FD238DE3E1409C69CC8ADD69FCF1</vt:lpwstr>
  </property>
</Properties>
</file>